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300"/>
      </w:tblGrid>
      <w:tr w:rsidR="00594B51" w:rsidRPr="000F050B" w:rsidTr="00CB5E87">
        <w:trPr>
          <w:trHeight w:val="1560"/>
        </w:trPr>
        <w:tc>
          <w:tcPr>
            <w:tcW w:w="4308" w:type="dxa"/>
            <w:tcBorders>
              <w:top w:val="nil"/>
              <w:left w:val="nil"/>
              <w:bottom w:val="nil"/>
              <w:right w:val="nil"/>
            </w:tcBorders>
          </w:tcPr>
          <w:p w:rsidR="00594B51" w:rsidRPr="000F050B" w:rsidRDefault="00594B51" w:rsidP="00CB5E87">
            <w:pPr>
              <w:spacing w:after="0" w:line="240" w:lineRule="auto"/>
              <w:jc w:val="center"/>
              <w:rPr>
                <w:rFonts w:ascii="Times New Roman" w:eastAsia="Times New Roman" w:hAnsi="Times New Roman" w:cs="Times New Roman"/>
                <w:sz w:val="24"/>
                <w:szCs w:val="24"/>
              </w:rPr>
            </w:pPr>
            <w:r w:rsidRPr="000F050B">
              <w:rPr>
                <w:rFonts w:ascii="Times New Roman" w:eastAsia="Times New Roman" w:hAnsi="Times New Roman" w:cs="Times New Roman"/>
                <w:sz w:val="24"/>
                <w:szCs w:val="24"/>
              </w:rPr>
              <w:t>QUỐC HỘI KHÓA XV</w:t>
            </w:r>
          </w:p>
          <w:p w:rsidR="00594B51" w:rsidRPr="000F050B" w:rsidRDefault="00594B51" w:rsidP="00CB5E87">
            <w:pPr>
              <w:spacing w:after="0" w:line="240" w:lineRule="auto"/>
              <w:jc w:val="center"/>
              <w:rPr>
                <w:rFonts w:ascii="Times New Roman" w:eastAsia="Times New Roman" w:hAnsi="Times New Roman" w:cs="Times New Roman"/>
                <w:b/>
                <w:sz w:val="24"/>
                <w:szCs w:val="24"/>
              </w:rPr>
            </w:pPr>
            <w:r w:rsidRPr="000F050B">
              <w:rPr>
                <w:rFonts w:ascii="Times New Roman" w:eastAsia="Times New Roman" w:hAnsi="Times New Roman" w:cs="Times New Roman"/>
                <w:b/>
                <w:sz w:val="24"/>
                <w:szCs w:val="24"/>
              </w:rPr>
              <w:t>ỦY BAN TÀI CHÍNH, NGÂN SÁCH</w:t>
            </w:r>
          </w:p>
          <w:p w:rsidR="00594B51" w:rsidRPr="000F050B" w:rsidRDefault="00594B51" w:rsidP="00CB5E87">
            <w:pPr>
              <w:spacing w:after="0" w:line="240" w:lineRule="auto"/>
              <w:jc w:val="center"/>
              <w:rPr>
                <w:rFonts w:ascii="Times New Roman" w:eastAsia="Times New Roman" w:hAnsi="Times New Roman" w:cs="Times New Roman"/>
                <w:b/>
                <w:sz w:val="24"/>
                <w:szCs w:val="24"/>
              </w:rPr>
            </w:pPr>
            <w:r w:rsidRPr="000F050B">
              <w:rPr>
                <w:rFonts w:ascii="Times New Roman" w:eastAsia="Times New Roman" w:hAnsi="Times New Roman" w:cs="Times New Roman"/>
                <w:noProof/>
                <w:sz w:val="24"/>
                <w:szCs w:val="24"/>
                <w:lang w:val="en-GB" w:eastAsia="en-GB"/>
              </w:rPr>
              <mc:AlternateContent>
                <mc:Choice Requires="wps">
                  <w:drawing>
                    <wp:anchor distT="4294967295" distB="4294967295" distL="114300" distR="114300" simplePos="0" relativeHeight="251660288" behindDoc="0" locked="0" layoutInCell="1" allowOverlap="1" wp14:anchorId="0CAFB39D" wp14:editId="4B8A4D20">
                      <wp:simplePos x="0" y="0"/>
                      <wp:positionH relativeFrom="column">
                        <wp:posOffset>553720</wp:posOffset>
                      </wp:positionH>
                      <wp:positionV relativeFrom="paragraph">
                        <wp:posOffset>34925</wp:posOffset>
                      </wp:positionV>
                      <wp:extent cx="148971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F0365"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pt,2.75pt" to="160.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mB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yzxfIphRbS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"/>
                  </w:pict>
                </mc:Fallback>
              </mc:AlternateContent>
            </w:r>
            <w:r w:rsidRPr="000F050B">
              <w:rPr>
                <w:rFonts w:ascii="Times New Roman" w:eastAsia="Times New Roman" w:hAnsi="Times New Roman" w:cs="Times New Roman"/>
                <w:sz w:val="24"/>
                <w:szCs w:val="24"/>
              </w:rPr>
              <w:t xml:space="preserve"> </w:t>
            </w:r>
          </w:p>
          <w:p w:rsidR="00594B51" w:rsidRPr="000F050B" w:rsidRDefault="00594B51" w:rsidP="00CB5E87">
            <w:pPr>
              <w:spacing w:after="0" w:line="240" w:lineRule="auto"/>
              <w:jc w:val="center"/>
              <w:rPr>
                <w:rFonts w:ascii="Times New Roman" w:eastAsia="Times New Roman" w:hAnsi="Times New Roman" w:cs="Times New Roman"/>
                <w:sz w:val="26"/>
                <w:szCs w:val="26"/>
              </w:rPr>
            </w:pPr>
          </w:p>
          <w:p w:rsidR="00594B51" w:rsidRPr="000F050B" w:rsidRDefault="00594B51" w:rsidP="00CB5E87">
            <w:pPr>
              <w:spacing w:after="0" w:line="240" w:lineRule="auto"/>
              <w:jc w:val="center"/>
              <w:rPr>
                <w:rFonts w:ascii="Times New Roman" w:eastAsia="Times New Roman" w:hAnsi="Times New Roman" w:cs="Times New Roman"/>
                <w:sz w:val="26"/>
                <w:szCs w:val="26"/>
              </w:rPr>
            </w:pPr>
          </w:p>
        </w:tc>
        <w:tc>
          <w:tcPr>
            <w:tcW w:w="5300" w:type="dxa"/>
            <w:tcBorders>
              <w:top w:val="nil"/>
              <w:left w:val="nil"/>
              <w:bottom w:val="nil"/>
              <w:right w:val="nil"/>
            </w:tcBorders>
          </w:tcPr>
          <w:p w:rsidR="00594B51" w:rsidRPr="000F050B" w:rsidRDefault="00594B51" w:rsidP="00CB5E87">
            <w:pPr>
              <w:spacing w:after="0" w:line="240" w:lineRule="auto"/>
              <w:jc w:val="center"/>
              <w:rPr>
                <w:rFonts w:ascii="Times New Roman" w:eastAsia="Times New Roman" w:hAnsi="Times New Roman" w:cs="Times New Roman"/>
                <w:b/>
                <w:sz w:val="24"/>
                <w:szCs w:val="24"/>
              </w:rPr>
            </w:pPr>
            <w:r w:rsidRPr="000F050B">
              <w:rPr>
                <w:rFonts w:ascii="Times New Roman" w:eastAsia="Times New Roman" w:hAnsi="Times New Roman" w:cs="Times New Roman"/>
                <w:b/>
                <w:sz w:val="24"/>
                <w:szCs w:val="24"/>
              </w:rPr>
              <w:t>CỘNG HÒA XÃ HỘI CHỦ NGHĨA VIỆT NAM</w:t>
            </w:r>
          </w:p>
          <w:p w:rsidR="00594B51" w:rsidRPr="000F050B" w:rsidRDefault="00594B51" w:rsidP="00CB5E87">
            <w:pPr>
              <w:spacing w:after="0" w:line="240" w:lineRule="auto"/>
              <w:jc w:val="center"/>
              <w:rPr>
                <w:rFonts w:ascii="Times New Roman" w:eastAsia="Times New Roman" w:hAnsi="Times New Roman" w:cs="Times New Roman"/>
                <w:b/>
                <w:sz w:val="26"/>
                <w:szCs w:val="26"/>
              </w:rPr>
            </w:pPr>
            <w:r w:rsidRPr="000F050B">
              <w:rPr>
                <w:rFonts w:ascii="Times New Roman" w:eastAsia="Times New Roman" w:hAnsi="Times New Roman" w:cs="Times New Roman"/>
                <w:b/>
                <w:sz w:val="26"/>
                <w:szCs w:val="26"/>
              </w:rPr>
              <w:t>Độc lập - Tự do - Hạnh phúc</w:t>
            </w:r>
          </w:p>
          <w:p w:rsidR="00594B51" w:rsidRPr="000F050B" w:rsidRDefault="00594B51" w:rsidP="00CB5E87">
            <w:pPr>
              <w:tabs>
                <w:tab w:val="left" w:pos="390"/>
                <w:tab w:val="center" w:pos="2778"/>
              </w:tabs>
              <w:spacing w:after="0" w:line="240" w:lineRule="auto"/>
              <w:rPr>
                <w:rFonts w:ascii="Times New Roman" w:eastAsia="Times New Roman" w:hAnsi="Times New Roman" w:cs="Times New Roman"/>
                <w:b/>
                <w:sz w:val="24"/>
                <w:szCs w:val="24"/>
              </w:rPr>
            </w:pPr>
            <w:r w:rsidRPr="000F050B">
              <w:rPr>
                <w:rFonts w:ascii="Times New Roman" w:eastAsia="Times New Roman" w:hAnsi="Times New Roman" w:cs="Times New Roman"/>
                <w:noProof/>
                <w:sz w:val="24"/>
                <w:szCs w:val="24"/>
                <w:lang w:val="en-GB" w:eastAsia="en-GB"/>
              </w:rPr>
              <mc:AlternateContent>
                <mc:Choice Requires="wps">
                  <w:drawing>
                    <wp:anchor distT="4294967295" distB="4294967295" distL="114300" distR="114300" simplePos="0" relativeHeight="251659264" behindDoc="0" locked="0" layoutInCell="1" allowOverlap="1" wp14:anchorId="13BD9C38" wp14:editId="6C1ED0C8">
                      <wp:simplePos x="0" y="0"/>
                      <wp:positionH relativeFrom="column">
                        <wp:posOffset>638175</wp:posOffset>
                      </wp:positionH>
                      <wp:positionV relativeFrom="paragraph">
                        <wp:posOffset>50800</wp:posOffset>
                      </wp:positionV>
                      <wp:extent cx="1981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817E8"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4pt" to="206.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i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iwwajh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"/>
                  </w:pict>
                </mc:Fallback>
              </mc:AlternateContent>
            </w:r>
            <w:r w:rsidRPr="000F050B">
              <w:rPr>
                <w:rFonts w:ascii="Times New Roman" w:eastAsia="Times New Roman" w:hAnsi="Times New Roman" w:cs="Times New Roman"/>
                <w:b/>
                <w:sz w:val="24"/>
                <w:szCs w:val="24"/>
              </w:rPr>
              <w:tab/>
            </w:r>
            <w:r w:rsidRPr="000F050B">
              <w:rPr>
                <w:rFonts w:ascii="Times New Roman" w:eastAsia="Times New Roman" w:hAnsi="Times New Roman" w:cs="Times New Roman"/>
                <w:b/>
                <w:sz w:val="24"/>
                <w:szCs w:val="24"/>
              </w:rPr>
              <w:tab/>
            </w:r>
          </w:p>
          <w:p w:rsidR="00594B51" w:rsidRPr="000F050B" w:rsidRDefault="00594B51" w:rsidP="00CB5E87">
            <w:pPr>
              <w:spacing w:after="0" w:line="240" w:lineRule="auto"/>
              <w:jc w:val="center"/>
              <w:rPr>
                <w:rFonts w:ascii="Times New Roman" w:eastAsia="Times New Roman" w:hAnsi="Times New Roman" w:cs="Times New Roman"/>
                <w:i/>
                <w:sz w:val="28"/>
                <w:szCs w:val="28"/>
              </w:rPr>
            </w:pPr>
            <w:r w:rsidRPr="000F050B">
              <w:rPr>
                <w:rFonts w:ascii="Times New Roman" w:eastAsia="Times New Roman" w:hAnsi="Times New Roman" w:cs="Times New Roman"/>
                <w:i/>
                <w:sz w:val="24"/>
                <w:szCs w:val="24"/>
              </w:rPr>
              <w:t xml:space="preserve">                </w:t>
            </w:r>
            <w:r w:rsidRPr="000F050B">
              <w:rPr>
                <w:rFonts w:ascii="Times New Roman" w:eastAsia="Times New Roman" w:hAnsi="Times New Roman" w:cs="Times New Roman"/>
                <w:i/>
                <w:sz w:val="28"/>
                <w:szCs w:val="28"/>
              </w:rPr>
              <w:t>Hà Nội, ngày 01 tháng 11 năm 2024</w:t>
            </w:r>
          </w:p>
        </w:tc>
      </w:tr>
    </w:tbl>
    <w:p w:rsidR="00594B51" w:rsidRPr="000F050B" w:rsidRDefault="00594B51" w:rsidP="00594B51">
      <w:pPr>
        <w:spacing w:after="0" w:line="240" w:lineRule="auto"/>
        <w:jc w:val="center"/>
        <w:rPr>
          <w:rFonts w:ascii="Times New Roman" w:eastAsia="Times New Roman" w:hAnsi="Times New Roman" w:cs="Times New Roman"/>
          <w:b/>
          <w:sz w:val="28"/>
          <w:szCs w:val="28"/>
        </w:rPr>
      </w:pPr>
      <w:r w:rsidRPr="000F050B">
        <w:rPr>
          <w:rFonts w:ascii="Times New Roman" w:eastAsia="Times New Roman" w:hAnsi="Times New Roman" w:cs="Times New Roman"/>
          <w:b/>
          <w:sz w:val="28"/>
          <w:szCs w:val="28"/>
        </w:rPr>
        <w:t>BÁO CÁO TÓM TẮT</w:t>
      </w:r>
    </w:p>
    <w:p w:rsidR="00594B51" w:rsidRPr="000F050B" w:rsidRDefault="00594B51" w:rsidP="00594B51">
      <w:pPr>
        <w:spacing w:after="0" w:line="240" w:lineRule="auto"/>
        <w:jc w:val="center"/>
        <w:rPr>
          <w:rFonts w:ascii="Times New Roman" w:hAnsi="Times New Roman" w:cs="Times New Roman"/>
          <w:sz w:val="28"/>
          <w:szCs w:val="28"/>
        </w:rPr>
      </w:pPr>
      <w:r w:rsidRPr="000F050B">
        <w:rPr>
          <w:rFonts w:ascii="Times New Roman" w:eastAsia="Times New Roman" w:hAnsi="Times New Roman" w:cs="Times New Roman"/>
          <w:b/>
          <w:noProof/>
          <w:sz w:val="28"/>
          <w:szCs w:val="28"/>
        </w:rPr>
        <w:t xml:space="preserve">Thẩm tra </w:t>
      </w:r>
      <w:r w:rsidRPr="000F050B">
        <w:rPr>
          <w:rFonts w:ascii="Times New Roman" w:eastAsia="Times New Roman" w:hAnsi="Times New Roman" w:cs="Times New Roman"/>
          <w:b/>
          <w:sz w:val="28"/>
          <w:szCs w:val="28"/>
        </w:rPr>
        <w:t xml:space="preserve">dự án Luật Thuế tiêu thụ đặc biệt (sửa đổi) </w:t>
      </w:r>
    </w:p>
    <w:p w:rsidR="00594B51" w:rsidRPr="000F050B" w:rsidRDefault="00594B51" w:rsidP="00594B51">
      <w:pPr>
        <w:spacing w:before="240" w:after="240" w:line="360" w:lineRule="exact"/>
        <w:jc w:val="center"/>
        <w:rPr>
          <w:rFonts w:ascii="Times New Roman" w:hAnsi="Times New Roman" w:cs="Times New Roman"/>
          <w:sz w:val="28"/>
          <w:szCs w:val="28"/>
        </w:rPr>
      </w:pPr>
      <w:r w:rsidRPr="000F050B">
        <w:rPr>
          <w:rFonts w:ascii="Times New Roman" w:eastAsia="Times New Roman" w:hAnsi="Times New Roman" w:cs="Times New Roman"/>
          <w:noProof/>
          <w:sz w:val="24"/>
          <w:szCs w:val="24"/>
          <w:lang w:val="en-GB" w:eastAsia="en-GB"/>
        </w:rPr>
        <mc:AlternateContent>
          <mc:Choice Requires="wps">
            <w:drawing>
              <wp:anchor distT="4294967295" distB="4294967295" distL="114300" distR="114300" simplePos="0" relativeHeight="251661312" behindDoc="0" locked="0" layoutInCell="1" allowOverlap="1" wp14:anchorId="753C6A96" wp14:editId="29D1E5EB">
                <wp:simplePos x="0" y="0"/>
                <wp:positionH relativeFrom="margin">
                  <wp:align>center</wp:align>
                </wp:positionH>
                <wp:positionV relativeFrom="paragraph">
                  <wp:posOffset>27940</wp:posOffset>
                </wp:positionV>
                <wp:extent cx="609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C5673" id="Straight Connector 6"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2pt" to="4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">
                <w10:wrap anchorx="margin"/>
              </v:line>
            </w:pict>
          </mc:Fallback>
        </mc:AlternateContent>
      </w:r>
    </w:p>
    <w:p w:rsidR="00594B51" w:rsidRPr="000F050B" w:rsidRDefault="00594B51" w:rsidP="00594B51">
      <w:pPr>
        <w:spacing w:before="240" w:after="240" w:line="360" w:lineRule="exact"/>
        <w:jc w:val="center"/>
        <w:rPr>
          <w:rFonts w:ascii="Times New Roman" w:hAnsi="Times New Roman" w:cs="Times New Roman"/>
          <w:sz w:val="28"/>
          <w:szCs w:val="28"/>
        </w:rPr>
      </w:pPr>
      <w:r w:rsidRPr="000F050B">
        <w:rPr>
          <w:rFonts w:ascii="Times New Roman" w:hAnsi="Times New Roman" w:cs="Times New Roman"/>
          <w:sz w:val="28"/>
          <w:szCs w:val="28"/>
        </w:rPr>
        <w:t>Kính gửi: Các vị đại biểu Quốc hội,</w:t>
      </w:r>
    </w:p>
    <w:p w:rsidR="00594B51" w:rsidRPr="000F050B" w:rsidRDefault="00594B51" w:rsidP="00594B51">
      <w:pPr>
        <w:spacing w:before="120" w:after="0" w:line="360" w:lineRule="exact"/>
        <w:ind w:firstLine="720"/>
        <w:jc w:val="both"/>
        <w:rPr>
          <w:rFonts w:ascii="Times New Roman" w:eastAsia="Times New Roman" w:hAnsi="Times New Roman" w:cs="Times New Roman"/>
          <w:b/>
          <w:sz w:val="24"/>
          <w:szCs w:val="24"/>
          <w:lang w:val="am-ET"/>
        </w:rPr>
      </w:pPr>
      <w:bookmarkStart w:id="0" w:name="_Hlk135402244"/>
      <w:r w:rsidRPr="000F050B">
        <w:rPr>
          <w:rFonts w:ascii="Times New Roman" w:hAnsi="Times New Roman" w:cs="Times New Roman"/>
          <w:sz w:val="28"/>
          <w:szCs w:val="28"/>
          <w:lang w:val="nl-NL"/>
        </w:rPr>
        <w:t>Ủy ban Tài chính, Ngân sách (TCNS) đã có Báo cáo</w:t>
      </w:r>
      <w:r w:rsidRPr="000F050B">
        <w:rPr>
          <w:rFonts w:ascii="Times New Roman" w:hAnsi="Times New Roman" w:cs="Times New Roman"/>
          <w:sz w:val="28"/>
          <w:szCs w:val="28"/>
          <w:lang w:val="vi-VN"/>
        </w:rPr>
        <w:t xml:space="preserve"> </w:t>
      </w:r>
      <w:r w:rsidRPr="000F050B">
        <w:rPr>
          <w:rFonts w:ascii="Times New Roman" w:hAnsi="Times New Roman" w:cs="Times New Roman"/>
          <w:sz w:val="28"/>
          <w:szCs w:val="28"/>
          <w:lang w:val="nl-NL"/>
        </w:rPr>
        <w:t>số 2580/BC-UBTCNS15 ngày 01/11/2024</w:t>
      </w:r>
      <w:r w:rsidRPr="000F050B">
        <w:rPr>
          <w:rFonts w:ascii="Times New Roman" w:hAnsi="Times New Roman" w:cs="Times New Roman"/>
          <w:sz w:val="28"/>
          <w:szCs w:val="28"/>
          <w:lang w:val="vi-VN"/>
        </w:rPr>
        <w:t xml:space="preserve"> thẩm tra Dự án Luật </w:t>
      </w:r>
      <w:r w:rsidRPr="000F050B">
        <w:rPr>
          <w:rFonts w:ascii="Times New Roman" w:hAnsi="Times New Roman" w:cs="Times New Roman"/>
          <w:sz w:val="28"/>
          <w:szCs w:val="28"/>
          <w:lang w:val="en-GB"/>
        </w:rPr>
        <w:t>Thuế</w:t>
      </w:r>
      <w:r w:rsidRPr="000F050B">
        <w:rPr>
          <w:rFonts w:ascii="Times New Roman" w:hAnsi="Times New Roman" w:cs="Times New Roman"/>
          <w:sz w:val="28"/>
          <w:szCs w:val="28"/>
          <w:lang w:val="vi-VN"/>
        </w:rPr>
        <w:t xml:space="preserve"> tiêu thụ đặc biệt </w:t>
      </w:r>
      <w:r w:rsidRPr="000F050B">
        <w:rPr>
          <w:rFonts w:ascii="Times New Roman" w:hAnsi="Times New Roman" w:cs="Times New Roman"/>
          <w:sz w:val="28"/>
          <w:szCs w:val="28"/>
          <w:lang w:val="en-GB"/>
        </w:rPr>
        <w:t xml:space="preserve">(TTĐB) (sửa đổi) </w:t>
      </w:r>
      <w:r w:rsidRPr="000F050B">
        <w:rPr>
          <w:rFonts w:ascii="Times New Roman" w:hAnsi="Times New Roman" w:cs="Times New Roman"/>
          <w:sz w:val="28"/>
          <w:szCs w:val="28"/>
          <w:lang w:val="vi-VN"/>
        </w:rPr>
        <w:t>và</w:t>
      </w:r>
      <w:r w:rsidRPr="000F050B">
        <w:rPr>
          <w:rFonts w:ascii="Times New Roman" w:hAnsi="Times New Roman" w:cs="Times New Roman"/>
          <w:sz w:val="28"/>
          <w:szCs w:val="28"/>
          <w:lang w:val="nl-NL"/>
        </w:rPr>
        <w:t xml:space="preserve"> xin báo cáo Quốc hội tóm tắt</w:t>
      </w:r>
      <w:r w:rsidRPr="000F050B">
        <w:rPr>
          <w:rFonts w:ascii="Times New Roman" w:hAnsi="Times New Roman" w:cs="Times New Roman"/>
          <w:sz w:val="28"/>
          <w:szCs w:val="28"/>
          <w:lang w:val="vi-VN"/>
        </w:rPr>
        <w:t xml:space="preserve"> một số nội dung chủ yếu</w:t>
      </w:r>
      <w:r w:rsidRPr="000F050B">
        <w:rPr>
          <w:rFonts w:ascii="Times New Roman" w:hAnsi="Times New Roman" w:cs="Times New Roman"/>
          <w:sz w:val="28"/>
          <w:szCs w:val="28"/>
          <w:lang w:val="nl-NL"/>
        </w:rPr>
        <w:t xml:space="preserve"> như sau:</w:t>
      </w:r>
      <w:bookmarkEnd w:id="0"/>
    </w:p>
    <w:p w:rsidR="00594B51" w:rsidRPr="000F050B" w:rsidRDefault="00594B51" w:rsidP="00594B51">
      <w:pPr>
        <w:tabs>
          <w:tab w:val="left" w:pos="851"/>
        </w:tabs>
        <w:spacing w:before="120" w:after="0" w:line="360" w:lineRule="exact"/>
        <w:ind w:firstLine="720"/>
        <w:jc w:val="both"/>
        <w:rPr>
          <w:rFonts w:ascii="Times New Roman" w:eastAsia="Times New Roman" w:hAnsi="Times New Roman" w:cs="Times New Roman"/>
          <w:b/>
          <w:sz w:val="28"/>
          <w:szCs w:val="28"/>
          <w:lang w:val="en-GB"/>
        </w:rPr>
      </w:pPr>
      <w:r w:rsidRPr="000F050B">
        <w:rPr>
          <w:rFonts w:ascii="Times New Roman" w:eastAsia="Times New Roman" w:hAnsi="Times New Roman" w:cs="Times New Roman"/>
          <w:b/>
          <w:sz w:val="28"/>
          <w:szCs w:val="28"/>
          <w:lang w:val="am-ET"/>
        </w:rPr>
        <w:t>1. Về đối tượng chịu thuế</w:t>
      </w:r>
      <w:r w:rsidRPr="000F050B">
        <w:rPr>
          <w:rFonts w:ascii="Times New Roman" w:eastAsia="Times New Roman" w:hAnsi="Times New Roman" w:cs="Times New Roman"/>
          <w:b/>
          <w:sz w:val="28"/>
          <w:szCs w:val="28"/>
          <w:lang w:val="en-GB"/>
        </w:rPr>
        <w:t xml:space="preserve"> (Điều 2)</w:t>
      </w:r>
    </w:p>
    <w:p w:rsidR="00594B51" w:rsidRPr="000F050B" w:rsidRDefault="00594B51" w:rsidP="00594B51">
      <w:pPr>
        <w:tabs>
          <w:tab w:val="left" w:pos="851"/>
        </w:tabs>
        <w:spacing w:before="120" w:after="0" w:line="360" w:lineRule="exact"/>
        <w:ind w:firstLine="720"/>
        <w:jc w:val="both"/>
        <w:rPr>
          <w:rFonts w:ascii="Times New Roman" w:eastAsia="Times New Roman" w:hAnsi="Times New Roman" w:cs="Times New Roman"/>
          <w:b/>
          <w:i/>
          <w:iCs/>
          <w:sz w:val="28"/>
          <w:szCs w:val="28"/>
          <w:lang w:val="pt-BR"/>
        </w:rPr>
      </w:pPr>
      <w:r w:rsidRPr="000F050B">
        <w:rPr>
          <w:rFonts w:ascii="Times New Roman" w:eastAsia="Times New Roman" w:hAnsi="Times New Roman" w:cs="Times New Roman"/>
          <w:b/>
          <w:i/>
          <w:iCs/>
          <w:sz w:val="28"/>
          <w:szCs w:val="28"/>
          <w:lang w:val="pt-BR"/>
        </w:rPr>
        <w:t>1.1. Về sửa đổi, bổ sung liên quan đến danh mục hàng hóa thuộc đối tượng chịu thuế</w:t>
      </w:r>
    </w:p>
    <w:p w:rsidR="00594B51" w:rsidRPr="000F050B" w:rsidRDefault="00594B51" w:rsidP="00594B51">
      <w:pPr>
        <w:tabs>
          <w:tab w:val="left" w:pos="851"/>
        </w:tabs>
        <w:spacing w:before="120" w:after="0" w:line="360" w:lineRule="exact"/>
        <w:ind w:firstLine="720"/>
        <w:jc w:val="both"/>
        <w:rPr>
          <w:rFonts w:ascii="Times New Roman" w:eastAsia="Times New Roman" w:hAnsi="Times New Roman" w:cs="Times New Roman"/>
          <w:i/>
          <w:sz w:val="28"/>
          <w:szCs w:val="28"/>
          <w:lang w:val="pt-BR"/>
        </w:rPr>
      </w:pPr>
      <w:r w:rsidRPr="000F050B">
        <w:rPr>
          <w:rFonts w:ascii="Times New Roman" w:eastAsia="Times New Roman" w:hAnsi="Times New Roman" w:cs="Times New Roman"/>
          <w:i/>
          <w:iCs/>
          <w:sz w:val="28"/>
          <w:szCs w:val="28"/>
          <w:lang w:val="pt-BR"/>
        </w:rPr>
        <w:t xml:space="preserve">1.1.1. </w:t>
      </w:r>
      <w:r w:rsidRPr="000F050B">
        <w:rPr>
          <w:rFonts w:ascii="Times New Roman" w:eastAsia="Times New Roman" w:hAnsi="Times New Roman" w:cs="Times New Roman"/>
          <w:i/>
          <w:sz w:val="28"/>
          <w:szCs w:val="28"/>
          <w:lang w:val="pt-BR"/>
        </w:rPr>
        <w:t>Về sửa đổi liên quan đến điều hòa nhiệt độ</w:t>
      </w:r>
    </w:p>
    <w:p w:rsidR="00594B51" w:rsidRPr="000F050B" w:rsidRDefault="00594B51" w:rsidP="00594B51">
      <w:pPr>
        <w:tabs>
          <w:tab w:val="left" w:pos="851"/>
        </w:tabs>
        <w:spacing w:before="120" w:after="0" w:line="360" w:lineRule="exact"/>
        <w:ind w:firstLine="720"/>
        <w:jc w:val="both"/>
        <w:rPr>
          <w:rFonts w:ascii="Times New Roman" w:eastAsia="Times New Roman" w:hAnsi="Times New Roman" w:cs="Times New Roman"/>
          <w:spacing w:val="-2"/>
          <w:sz w:val="28"/>
          <w:szCs w:val="28"/>
          <w:lang w:val="pt-BR"/>
        </w:rPr>
      </w:pPr>
      <w:r w:rsidRPr="000F050B">
        <w:rPr>
          <w:rFonts w:ascii="Times New Roman" w:eastAsia="Times New Roman" w:hAnsi="Times New Roman" w:cs="Times New Roman"/>
          <w:sz w:val="28"/>
          <w:szCs w:val="28"/>
          <w:lang w:val="pt-BR"/>
        </w:rPr>
        <w:t>Đa số ý kiến nhất trí với nội dung dự thảo Luật.</w:t>
      </w:r>
      <w:r w:rsidRPr="000F050B">
        <w:rPr>
          <w:rFonts w:ascii="Times New Roman" w:eastAsia="Times New Roman" w:hAnsi="Times New Roman" w:cs="Times New Roman"/>
          <w:spacing w:val="-2"/>
          <w:sz w:val="28"/>
          <w:szCs w:val="28"/>
          <w:lang w:val="pt-BR"/>
        </w:rPr>
        <w:t xml:space="preserve"> Một số ý kiến đề nghị cân nhắc, không thu thuế TTĐB đối với điều hòa nhiệt độ vì hiện nay, việc sử dụng điều hòa nhiệt độ đã trở nên phổ biến, không còn là mặt hàng xa xỉ như trước đây. Do đó, trong trường hợp vẫn tiếp tục thu thuế TTĐB đối với điều hòa nhiệt độ thì chỉ thu thuế TTĐB đối với các loại điều hòa sử dụng chất làm lạnh chứa HCFC để khuyến khích sử dụng công nghệ thân thiện với môi trường hoặc phân loại theo công suất thiết kế và không thu thuế đối với loại điều hòa có công suất thiết kế được sử dụng phổ biến, phù hợp với nhu cầu thiết yếu của người dân. </w:t>
      </w:r>
    </w:p>
    <w:p w:rsidR="00594B51" w:rsidRPr="000F050B" w:rsidRDefault="00594B51" w:rsidP="00594B51">
      <w:pPr>
        <w:tabs>
          <w:tab w:val="left" w:pos="851"/>
        </w:tabs>
        <w:spacing w:before="120" w:after="0" w:line="360" w:lineRule="exact"/>
        <w:ind w:firstLine="720"/>
        <w:jc w:val="both"/>
        <w:rPr>
          <w:rFonts w:ascii="Times New Roman" w:eastAsia="Times New Roman" w:hAnsi="Times New Roman" w:cs="Times New Roman"/>
          <w:i/>
          <w:iCs/>
          <w:sz w:val="28"/>
          <w:szCs w:val="28"/>
          <w:lang w:val="pt-BR"/>
        </w:rPr>
      </w:pPr>
      <w:r w:rsidRPr="000F050B">
        <w:rPr>
          <w:rFonts w:ascii="Times New Roman" w:eastAsia="Times New Roman" w:hAnsi="Times New Roman" w:cs="Times New Roman"/>
          <w:i/>
          <w:spacing w:val="-2"/>
          <w:sz w:val="28"/>
          <w:szCs w:val="28"/>
          <w:lang w:val="pt-BR"/>
        </w:rPr>
        <w:t>1.1.2.</w:t>
      </w:r>
      <w:r w:rsidRPr="000F050B">
        <w:rPr>
          <w:rFonts w:ascii="Times New Roman" w:eastAsia="Times New Roman" w:hAnsi="Times New Roman" w:cs="Times New Roman"/>
          <w:i/>
          <w:iCs/>
          <w:sz w:val="28"/>
          <w:szCs w:val="28"/>
          <w:lang w:val="pt-BR"/>
        </w:rPr>
        <w:t xml:space="preserve"> Về bổ sung nước giải khát theo Tiêu chuẩn Việt Nam, có hàm lượng đường trên 5g/100ml vào đối tượng chịu thuế TTĐB </w:t>
      </w:r>
    </w:p>
    <w:p w:rsidR="00594B51" w:rsidRPr="000F050B" w:rsidRDefault="00594B51" w:rsidP="00594B51">
      <w:pPr>
        <w:spacing w:before="120" w:after="0" w:line="360" w:lineRule="exact"/>
        <w:ind w:firstLine="720"/>
        <w:jc w:val="both"/>
        <w:rPr>
          <w:rFonts w:ascii="Times New Roman" w:eastAsia="Times New Roman" w:hAnsi="Times New Roman" w:cs="Times New Roman"/>
          <w:sz w:val="28"/>
          <w:szCs w:val="28"/>
        </w:rPr>
      </w:pPr>
      <w:r w:rsidRPr="000F050B">
        <w:rPr>
          <w:rFonts w:ascii="Times New Roman" w:hAnsi="Times New Roman" w:cs="Times New Roman"/>
          <w:sz w:val="28"/>
          <w:szCs w:val="28"/>
          <w:lang w:val="vi-VN"/>
        </w:rPr>
        <w:t>Đa số ý kiến nhất trí với việc bổ sung sản phẩm này vào diện chịu thuế TTĐB</w:t>
      </w:r>
      <w:r w:rsidRPr="000F050B">
        <w:rPr>
          <w:rFonts w:ascii="Times New Roman" w:hAnsi="Times New Roman" w:cs="Times New Roman"/>
          <w:sz w:val="28"/>
          <w:szCs w:val="28"/>
          <w:lang w:val="en-GB"/>
        </w:rPr>
        <w:t xml:space="preserve"> đồng thời</w:t>
      </w:r>
      <w:r w:rsidRPr="000F050B">
        <w:rPr>
          <w:rFonts w:ascii="Times New Roman" w:eastAsia="Times New Roman" w:hAnsi="Times New Roman" w:cs="Times New Roman"/>
          <w:sz w:val="28"/>
          <w:szCs w:val="28"/>
        </w:rPr>
        <w:t>,</w:t>
      </w:r>
      <w:r w:rsidRPr="000F050B">
        <w:rPr>
          <w:rFonts w:ascii="Times New Roman" w:eastAsia="Times New Roman" w:hAnsi="Times New Roman" w:cs="Times New Roman"/>
          <w:sz w:val="28"/>
          <w:szCs w:val="28"/>
          <w:lang w:val="vi-VN"/>
        </w:rPr>
        <w:t xml:space="preserve"> đề nghị Chính phủ làm rõ nội dung</w:t>
      </w:r>
      <w:r w:rsidRPr="000F050B">
        <w:rPr>
          <w:rFonts w:ascii="Times New Roman" w:eastAsia="Times New Roman" w:hAnsi="Times New Roman" w:cs="Times New Roman"/>
          <w:sz w:val="28"/>
          <w:szCs w:val="28"/>
          <w:lang w:val="en-GB"/>
        </w:rPr>
        <w:t xml:space="preserve"> </w:t>
      </w:r>
      <w:r w:rsidRPr="000F050B">
        <w:rPr>
          <w:rFonts w:ascii="Times New Roman" w:eastAsia="Times New Roman" w:hAnsi="Times New Roman" w:cs="Times New Roman"/>
          <w:i/>
          <w:sz w:val="28"/>
          <w:szCs w:val="28"/>
          <w:lang w:val="en-GB"/>
        </w:rPr>
        <w:t>“</w:t>
      </w:r>
      <w:r w:rsidRPr="000F050B">
        <w:rPr>
          <w:rFonts w:ascii="Times New Roman" w:eastAsia="Times New Roman" w:hAnsi="Times New Roman" w:cs="Times New Roman"/>
          <w:i/>
          <w:iCs/>
          <w:sz w:val="28"/>
          <w:szCs w:val="28"/>
          <w:lang w:val="vi-VN"/>
        </w:rPr>
        <w:t>theo Tiêu chuẩn Việt Nam</w:t>
      </w:r>
      <w:r w:rsidRPr="000F050B">
        <w:rPr>
          <w:rFonts w:ascii="Times New Roman" w:eastAsia="Times New Roman" w:hAnsi="Times New Roman" w:cs="Times New Roman"/>
          <w:i/>
          <w:iCs/>
          <w:sz w:val="28"/>
          <w:szCs w:val="28"/>
          <w:lang w:val="en-GB"/>
        </w:rPr>
        <w:t>”</w:t>
      </w:r>
      <w:r w:rsidRPr="000F050B">
        <w:rPr>
          <w:rFonts w:ascii="Times New Roman" w:eastAsia="Times New Roman" w:hAnsi="Times New Roman" w:cs="Times New Roman"/>
          <w:i/>
          <w:iCs/>
          <w:sz w:val="28"/>
          <w:szCs w:val="28"/>
          <w:lang w:val="vi-VN"/>
        </w:rPr>
        <w:t xml:space="preserve"> </w:t>
      </w:r>
      <w:r w:rsidRPr="000F050B">
        <w:rPr>
          <w:rFonts w:ascii="Times New Roman" w:eastAsia="Times New Roman" w:hAnsi="Times New Roman" w:cs="Times New Roman"/>
          <w:sz w:val="28"/>
          <w:szCs w:val="28"/>
          <w:lang w:val="vi-VN"/>
        </w:rPr>
        <w:t xml:space="preserve">vì quy định này </w:t>
      </w:r>
      <w:r w:rsidRPr="000F050B">
        <w:rPr>
          <w:rFonts w:ascii="Times New Roman" w:eastAsia="Times New Roman" w:hAnsi="Times New Roman" w:cs="Times New Roman"/>
          <w:sz w:val="28"/>
          <w:szCs w:val="28"/>
          <w:lang w:val="en-GB"/>
        </w:rPr>
        <w:t xml:space="preserve">có thể </w:t>
      </w:r>
      <w:r w:rsidRPr="000F050B">
        <w:rPr>
          <w:rFonts w:ascii="Times New Roman" w:eastAsia="Times New Roman" w:hAnsi="Times New Roman" w:cs="Times New Roman"/>
          <w:sz w:val="28"/>
          <w:szCs w:val="28"/>
          <w:lang w:val="vi-VN"/>
        </w:rPr>
        <w:t>dẫn đến vướng mắc trong thực hiện đối với các sản phẩm nhập khẩu không được sản xuất theo Tiêu chuẩn Việt Nam song vẫn có hàm lượng đường trên 5g/100ml.</w:t>
      </w:r>
      <w:r w:rsidRPr="000F050B">
        <w:rPr>
          <w:rFonts w:ascii="Times New Roman" w:eastAsia="Times New Roman" w:hAnsi="Times New Roman" w:cs="Times New Roman"/>
          <w:sz w:val="28"/>
          <w:szCs w:val="28"/>
        </w:rPr>
        <w:t xml:space="preserve"> </w:t>
      </w:r>
    </w:p>
    <w:p w:rsidR="00594B51" w:rsidRPr="000F050B" w:rsidRDefault="00594B51" w:rsidP="00594B51">
      <w:pPr>
        <w:spacing w:before="120" w:after="0" w:line="360" w:lineRule="exact"/>
        <w:ind w:firstLine="720"/>
        <w:jc w:val="both"/>
        <w:rPr>
          <w:rFonts w:ascii="Times New Roman" w:eastAsia="Times New Roman" w:hAnsi="Times New Roman" w:cs="Times New Roman"/>
          <w:sz w:val="28"/>
          <w:szCs w:val="28"/>
          <w:lang w:val="pt-BR"/>
        </w:rPr>
      </w:pPr>
      <w:r w:rsidRPr="000F050B">
        <w:rPr>
          <w:rFonts w:ascii="Times New Roman" w:eastAsia="Times New Roman" w:hAnsi="Times New Roman" w:cs="Times New Roman"/>
          <w:sz w:val="28"/>
          <w:szCs w:val="28"/>
          <w:lang w:val="vi-VN"/>
        </w:rPr>
        <w:t>Một số ý kiến đề nghị giải trình rõ hơn về khả năng đạt được mục tiêu của chính sách này trong việc</w:t>
      </w:r>
      <w:r w:rsidRPr="000F050B">
        <w:rPr>
          <w:rFonts w:ascii="Times New Roman" w:eastAsia="Times New Roman" w:hAnsi="Times New Roman" w:cs="Times New Roman"/>
          <w:sz w:val="28"/>
          <w:szCs w:val="28"/>
          <w:lang w:val="pt-BR"/>
        </w:rPr>
        <w:t xml:space="preserve"> góp phần bảo vệ sức khỏe người dân; bổ sung các thông tin liên quan đến kinh nghiệm quốc tế; đánh giá kỹ tác động trên khía cạnh bảo vệ quyền lợi người tiêu dùng.</w:t>
      </w:r>
      <w:r w:rsidRPr="000F050B">
        <w:rPr>
          <w:rFonts w:ascii="Times New Roman" w:eastAsia="Times New Roman" w:hAnsi="Times New Roman" w:cs="Times New Roman"/>
          <w:sz w:val="28"/>
          <w:szCs w:val="28"/>
          <w:lang w:val="vi-VN"/>
        </w:rPr>
        <w:t xml:space="preserve"> Với</w:t>
      </w:r>
      <w:r w:rsidRPr="000F050B">
        <w:rPr>
          <w:rFonts w:ascii="Times New Roman" w:eastAsia="Times New Roman" w:hAnsi="Times New Roman" w:cs="Times New Roman"/>
          <w:sz w:val="28"/>
          <w:szCs w:val="28"/>
          <w:lang w:val="pt-BR"/>
        </w:rPr>
        <w:t xml:space="preserve"> mục tiêu góp phần bảo vệ sức khỏe người tiêu dùng thì việc chỉ đề xuất bổ sung nước giải khát có đường vào diện chịu thuế là chưa bao quát toàn diện các sản phẩm có thể ảnh hưởng tới sức khỏe người dùng </w:t>
      </w:r>
      <w:r w:rsidRPr="000F050B">
        <w:rPr>
          <w:rFonts w:ascii="Times New Roman" w:eastAsia="Times New Roman" w:hAnsi="Times New Roman" w:cs="Times New Roman"/>
          <w:sz w:val="28"/>
          <w:szCs w:val="28"/>
          <w:lang w:val="pt-BR"/>
        </w:rPr>
        <w:lastRenderedPageBreak/>
        <w:t xml:space="preserve">vì </w:t>
      </w:r>
      <w:r w:rsidRPr="000F050B">
        <w:rPr>
          <w:rFonts w:ascii="Times New Roman" w:hAnsi="Times New Roman" w:cs="Times New Roman"/>
          <w:bCs/>
          <w:sz w:val="28"/>
          <w:szCs w:val="28"/>
          <w:lang w:val="en-GB"/>
        </w:rPr>
        <w:t>nước</w:t>
      </w:r>
      <w:r w:rsidRPr="000F050B">
        <w:rPr>
          <w:rFonts w:ascii="Times New Roman" w:hAnsi="Times New Roman" w:cs="Times New Roman"/>
          <w:bCs/>
          <w:sz w:val="28"/>
          <w:szCs w:val="28"/>
          <w:lang w:val="vi-VN"/>
        </w:rPr>
        <w:t xml:space="preserve"> giải khát có đường không phải là sản phẩm duy nhất </w:t>
      </w:r>
      <w:r w:rsidRPr="000F050B">
        <w:rPr>
          <w:rFonts w:ascii="Times New Roman" w:hAnsi="Times New Roman" w:cs="Times New Roman"/>
          <w:bCs/>
          <w:sz w:val="28"/>
          <w:szCs w:val="28"/>
          <w:lang w:val="en-GB"/>
        </w:rPr>
        <w:t>có hàm lượng</w:t>
      </w:r>
      <w:r w:rsidRPr="000F050B">
        <w:rPr>
          <w:rFonts w:ascii="Times New Roman" w:hAnsi="Times New Roman" w:cs="Times New Roman"/>
          <w:bCs/>
          <w:sz w:val="28"/>
          <w:szCs w:val="28"/>
          <w:lang w:val="vi-VN"/>
        </w:rPr>
        <w:t xml:space="preserve"> đường</w:t>
      </w:r>
      <w:r w:rsidRPr="000F050B">
        <w:rPr>
          <w:rFonts w:ascii="Times New Roman" w:hAnsi="Times New Roman" w:cs="Times New Roman"/>
          <w:bCs/>
          <w:sz w:val="28"/>
          <w:szCs w:val="28"/>
          <w:lang w:val="en-GB"/>
        </w:rPr>
        <w:t xml:space="preserve">, </w:t>
      </w:r>
      <w:r w:rsidRPr="000F050B">
        <w:rPr>
          <w:rFonts w:ascii="Times New Roman" w:hAnsi="Times New Roman" w:cs="Times New Roman"/>
          <w:sz w:val="28"/>
          <w:szCs w:val="28"/>
          <w:lang w:val="vi-VN"/>
        </w:rPr>
        <w:t>người tiêu dùng vẫn có thể tiêu thụ đường với hàm lượng cao hơn từ các sản phẩm khác</w:t>
      </w:r>
      <w:r w:rsidRPr="000F050B">
        <w:rPr>
          <w:rFonts w:ascii="Times New Roman" w:eastAsia="Times New Roman" w:hAnsi="Times New Roman" w:cs="Times New Roman"/>
          <w:sz w:val="28"/>
          <w:szCs w:val="28"/>
          <w:lang w:val="pt-BR"/>
        </w:rPr>
        <w:t xml:space="preserve"> (như các sản phẩm bánh, kẹo,...). Đồng thời, việc thu thuế đối với đồ uống có đường chưa hẳn đã đạt được mục tiêu hạn chế tiêu dùng do người dân có nhiều lựa chọn khác để thay thế như sử dụng các sản phẩm có đường được pha chế tại chỗ theo yêu cầu của khách hàng, đây là những sản phẩm rất khó để kiểm soát hàm lượng đường và cơ quan quản lý thuế cũng không có căn cứ để thu thuế đối với các sản phẩm đồ uống này. </w:t>
      </w:r>
    </w:p>
    <w:p w:rsidR="00594B51" w:rsidRPr="000F050B" w:rsidRDefault="00594B51" w:rsidP="00594B51">
      <w:pPr>
        <w:tabs>
          <w:tab w:val="left" w:pos="851"/>
        </w:tabs>
        <w:spacing w:before="120" w:after="0" w:line="360" w:lineRule="exact"/>
        <w:ind w:firstLine="720"/>
        <w:jc w:val="both"/>
        <w:rPr>
          <w:rFonts w:ascii="Times New Roman" w:hAnsi="Times New Roman" w:cs="Times New Roman"/>
          <w:spacing w:val="-2"/>
          <w:sz w:val="28"/>
          <w:szCs w:val="28"/>
        </w:rPr>
      </w:pPr>
      <w:r w:rsidRPr="000F050B">
        <w:rPr>
          <w:rFonts w:ascii="Times New Roman" w:eastAsia="Times New Roman" w:hAnsi="Times New Roman" w:cs="Times New Roman"/>
          <w:spacing w:val="-2"/>
          <w:sz w:val="28"/>
          <w:szCs w:val="28"/>
          <w:lang w:val="pt-BR"/>
        </w:rPr>
        <w:t>Một số ý kiến đề nghị cân nhắc việc bổ sung nước giải khát có đường vào đối tượng chịu thuế TTĐB vì: (1) Nước giải khát có đường không phải là nguyên nhân chính và duy nhất gây ra bệnh thừa cân béo phì. Kinh nghiệm của một số quốc gia cho thấy, để hạn chế tình trạng thừa cân béo phì, việc sử dụng các giải pháp khác như đẩy mạnh việc truyền thông</w:t>
      </w:r>
      <w:r w:rsidRPr="000F050B">
        <w:rPr>
          <w:rFonts w:ascii="Times New Roman" w:eastAsia="Times New Roman" w:hAnsi="Times New Roman" w:cs="Times New Roman"/>
          <w:iCs/>
          <w:spacing w:val="-2"/>
          <w:sz w:val="28"/>
          <w:szCs w:val="28"/>
          <w:lang w:val="nl-NL"/>
        </w:rPr>
        <w:t xml:space="preserve">, giáo dục </w:t>
      </w:r>
      <w:r w:rsidRPr="000F050B">
        <w:rPr>
          <w:rFonts w:ascii="Times New Roman" w:hAnsi="Times New Roman" w:cs="Times New Roman"/>
          <w:spacing w:val="-2"/>
          <w:sz w:val="28"/>
          <w:szCs w:val="28"/>
        </w:rPr>
        <w:t>về chế độ ăn uống và dinh dưỡng, tăng cường hoạt động thể chất, quy định giới hạn các nội dung được phép quảng cáo liên quan đến sản phẩm có đường</w:t>
      </w:r>
      <w:r w:rsidRPr="000F050B">
        <w:rPr>
          <w:rFonts w:ascii="Times New Roman" w:eastAsia="Times New Roman" w:hAnsi="Times New Roman" w:cs="Times New Roman"/>
          <w:iCs/>
          <w:spacing w:val="-2"/>
          <w:sz w:val="28"/>
          <w:szCs w:val="28"/>
          <w:lang w:val="nl-NL"/>
        </w:rPr>
        <w:t xml:space="preserve">,... có thể sẽ mang lại hiệu quả cao hơn trong bảo vệ sức khỏe người dân. (2) Việc bổ sung đồ uống có đường vào diện chịu thuế TTĐB không chỉ tác động không thuận tới hoạt động sản xuất, kinh doanh của doanh nghiệp sản xuất nước giải khát </w:t>
      </w:r>
      <w:r w:rsidRPr="000F050B">
        <w:rPr>
          <w:rFonts w:ascii="Times New Roman" w:hAnsi="Times New Roman" w:cs="Times New Roman"/>
          <w:spacing w:val="-2"/>
          <w:sz w:val="28"/>
          <w:szCs w:val="28"/>
        </w:rPr>
        <w:t xml:space="preserve">mà còn có thể ảnh hưởng đến các ngành công nghiệp phụ trợ, </w:t>
      </w:r>
      <w:r w:rsidRPr="000F050B">
        <w:rPr>
          <w:rFonts w:ascii="Times New Roman" w:eastAsia="Times New Roman" w:hAnsi="Times New Roman" w:cs="Times New Roman"/>
          <w:spacing w:val="-2"/>
          <w:sz w:val="28"/>
          <w:szCs w:val="28"/>
          <w:lang w:val="pt-BR"/>
        </w:rPr>
        <w:t xml:space="preserve">đồng thời, có thể </w:t>
      </w:r>
      <w:r w:rsidRPr="000F050B">
        <w:rPr>
          <w:rFonts w:ascii="Times New Roman" w:hAnsi="Times New Roman" w:cs="Times New Roman"/>
          <w:spacing w:val="-2"/>
          <w:sz w:val="28"/>
          <w:szCs w:val="28"/>
        </w:rPr>
        <w:t>gia tăng việc sử dụng các mặt hàng đồ uống được sản xuất không chính thức hoặc các sản phẩm sản xuất thủ công.</w:t>
      </w:r>
    </w:p>
    <w:p w:rsidR="00594B51" w:rsidRPr="000F050B" w:rsidRDefault="00594B51" w:rsidP="00594B51">
      <w:pPr>
        <w:tabs>
          <w:tab w:val="left" w:pos="851"/>
        </w:tabs>
        <w:spacing w:before="120" w:after="0" w:line="360" w:lineRule="exact"/>
        <w:ind w:firstLine="720"/>
        <w:jc w:val="both"/>
        <w:rPr>
          <w:rFonts w:ascii="Times New Roman" w:eastAsia="Times New Roman" w:hAnsi="Times New Roman" w:cs="Times New Roman"/>
          <w:i/>
          <w:sz w:val="28"/>
          <w:szCs w:val="28"/>
          <w:lang w:val="pt-BR"/>
        </w:rPr>
      </w:pPr>
      <w:r w:rsidRPr="000F050B">
        <w:rPr>
          <w:rFonts w:ascii="Times New Roman" w:hAnsi="Times New Roman" w:cs="Times New Roman"/>
          <w:i/>
          <w:sz w:val="28"/>
          <w:szCs w:val="28"/>
        </w:rPr>
        <w:t xml:space="preserve">1.1.3. </w:t>
      </w:r>
      <w:r w:rsidRPr="000F050B">
        <w:rPr>
          <w:rFonts w:ascii="Times New Roman" w:eastAsia="Times New Roman" w:hAnsi="Times New Roman" w:cs="Times New Roman"/>
          <w:i/>
          <w:sz w:val="28"/>
          <w:szCs w:val="28"/>
          <w:lang w:val="pt-BR"/>
        </w:rPr>
        <w:t>Về rà soát, bổ sung các đối tượng khác vào diện chịu thuế</w:t>
      </w:r>
    </w:p>
    <w:p w:rsidR="00594B51" w:rsidRPr="000F050B" w:rsidRDefault="00594B51" w:rsidP="00594B51">
      <w:pPr>
        <w:tabs>
          <w:tab w:val="left" w:pos="851"/>
        </w:tabs>
        <w:spacing w:before="120" w:after="0" w:line="360" w:lineRule="exact"/>
        <w:ind w:firstLine="720"/>
        <w:jc w:val="both"/>
        <w:rPr>
          <w:rFonts w:ascii="Times New Roman" w:eastAsia="Times New Roman" w:hAnsi="Times New Roman" w:cs="Times New Roman"/>
          <w:sz w:val="28"/>
          <w:szCs w:val="28"/>
          <w:lang w:val="pt-BR"/>
        </w:rPr>
      </w:pPr>
      <w:r w:rsidRPr="000F050B">
        <w:rPr>
          <w:rFonts w:ascii="Times New Roman" w:eastAsia="Times New Roman" w:hAnsi="Times New Roman" w:cs="Times New Roman"/>
          <w:spacing w:val="2"/>
          <w:sz w:val="28"/>
          <w:szCs w:val="28"/>
          <w:lang w:val="pt-BR"/>
        </w:rPr>
        <w:t xml:space="preserve">Đa số ý kiến cho rằng, ngoài việc bổ sung “nước giải khát có đường” vào diện chịu thuế TTĐB, các nội dung sửa đổi khác liên quan đến đối tượng chịu thuế về cơ bản là để bảo đảm tính thống nhất, đồng bộ của hệ thống pháp luật. Việc hướng tới mục đích “mở rộng cơ sở thu”, </w:t>
      </w:r>
      <w:r w:rsidRPr="000F050B">
        <w:rPr>
          <w:rFonts w:ascii="Times New Roman" w:eastAsia="Times New Roman" w:hAnsi="Times New Roman" w:cs="Times New Roman"/>
          <w:bCs/>
          <w:iCs/>
          <w:spacing w:val="2"/>
          <w:sz w:val="28"/>
          <w:szCs w:val="28"/>
        </w:rPr>
        <w:t>“phù hợp với xu hướng cải cách thuế của quốc tế”</w:t>
      </w:r>
      <w:r w:rsidRPr="000F050B">
        <w:rPr>
          <w:rFonts w:ascii="Times New Roman" w:eastAsia="Times New Roman" w:hAnsi="Times New Roman" w:cs="Times New Roman"/>
          <w:spacing w:val="2"/>
          <w:sz w:val="28"/>
          <w:szCs w:val="28"/>
          <w:lang w:val="pt-BR"/>
        </w:rPr>
        <w:t xml:space="preserve"> chưa thực sự đạt được như kỳ vọng. </w:t>
      </w:r>
      <w:r w:rsidRPr="000F050B">
        <w:rPr>
          <w:rFonts w:ascii="Times New Roman" w:eastAsia="Times New Roman" w:hAnsi="Times New Roman" w:cs="Times New Roman"/>
          <w:sz w:val="28"/>
          <w:szCs w:val="28"/>
          <w:lang w:val="pt-BR"/>
        </w:rPr>
        <w:t>Để bao quát đầy đủ, toàn diện các đối tượng thuộc diện chịu thuế, phù hợp với mục tiêu của Chiến lược cải cách thuế đối với thuế TTĐB, xu hướng cải cách thuế của quốc tế, đề nghị Chính phủ tiếp tục rà soát, tham khảo kinh nghiệm quốc tế để đề xuất bổ sung, mở rộng hơn nữa các nhóm hàng hóa, dịch vụ thuộc đối tượng chịu thuế, phù hợp với sự dịch chuyển về xu hướng tiêu dùng và định hướng của Đảng và Nhà nước về bảo vệ sức khỏe nhân dân và bảo vệ môi trường.</w:t>
      </w:r>
    </w:p>
    <w:p w:rsidR="00594B51" w:rsidRPr="000F050B" w:rsidRDefault="00594B51" w:rsidP="00594B51">
      <w:pPr>
        <w:tabs>
          <w:tab w:val="left" w:pos="851"/>
        </w:tabs>
        <w:spacing w:before="120" w:after="0" w:line="360" w:lineRule="exact"/>
        <w:jc w:val="both"/>
        <w:rPr>
          <w:rFonts w:ascii="Times New Roman" w:hAnsi="Times New Roman" w:cs="Times New Roman"/>
          <w:b/>
          <w:i/>
          <w:sz w:val="28"/>
          <w:szCs w:val="28"/>
          <w:lang w:val="nl-NL"/>
        </w:rPr>
      </w:pPr>
      <w:r w:rsidRPr="000F050B">
        <w:rPr>
          <w:rFonts w:ascii="Times New Roman" w:eastAsia="Times New Roman" w:hAnsi="Times New Roman" w:cs="Times New Roman"/>
          <w:iCs/>
          <w:sz w:val="28"/>
          <w:szCs w:val="28"/>
        </w:rPr>
        <w:tab/>
      </w:r>
      <w:r w:rsidRPr="000F050B">
        <w:rPr>
          <w:rFonts w:ascii="Times New Roman" w:eastAsia="Times New Roman" w:hAnsi="Times New Roman" w:cs="Times New Roman"/>
          <w:b/>
          <w:i/>
          <w:iCs/>
          <w:sz w:val="28"/>
          <w:szCs w:val="28"/>
        </w:rPr>
        <w:t>1.2.</w:t>
      </w:r>
      <w:r w:rsidRPr="000F050B">
        <w:rPr>
          <w:rFonts w:ascii="Times New Roman" w:eastAsia="Times New Roman" w:hAnsi="Times New Roman" w:cs="Times New Roman"/>
          <w:b/>
          <w:i/>
          <w:sz w:val="28"/>
          <w:szCs w:val="28"/>
          <w:lang w:val="pt-BR"/>
        </w:rPr>
        <w:t xml:space="preserve"> Về việc giao Chính phủ thẩm quyền </w:t>
      </w:r>
      <w:r w:rsidRPr="000F050B">
        <w:rPr>
          <w:rFonts w:ascii="Times New Roman" w:hAnsi="Times New Roman" w:cs="Times New Roman"/>
          <w:b/>
          <w:i/>
          <w:sz w:val="28"/>
          <w:szCs w:val="28"/>
          <w:lang w:val="nl-NL"/>
        </w:rPr>
        <w:t>sửa đổi, bổ sung đối tượng chịu thuế TTĐB</w:t>
      </w:r>
    </w:p>
    <w:p w:rsidR="00594B51" w:rsidRPr="000F050B" w:rsidRDefault="00594B51" w:rsidP="00594B51">
      <w:pPr>
        <w:tabs>
          <w:tab w:val="left" w:pos="851"/>
        </w:tabs>
        <w:spacing w:before="120" w:after="0" w:line="360" w:lineRule="exact"/>
        <w:ind w:firstLine="720"/>
        <w:jc w:val="both"/>
        <w:rPr>
          <w:rFonts w:ascii="Times New Roman" w:eastAsia="Times New Roman" w:hAnsi="Times New Roman" w:cs="Times New Roman"/>
          <w:sz w:val="28"/>
          <w:szCs w:val="28"/>
          <w:lang w:val="pt-BR"/>
        </w:rPr>
      </w:pPr>
      <w:r w:rsidRPr="000F050B">
        <w:rPr>
          <w:rFonts w:ascii="Times New Roman" w:eastAsia="Times New Roman" w:hAnsi="Times New Roman" w:cs="Times New Roman"/>
          <w:sz w:val="28"/>
          <w:szCs w:val="28"/>
          <w:lang w:val="pt-BR"/>
        </w:rPr>
        <w:t>Ý kiến thẩm tra của Thường trực Ủy ban Pháp luật và đa số ý kiến của Ủy ban TCNS cho rằng,</w:t>
      </w:r>
      <w:r w:rsidRPr="000F050B" w:rsidDel="004F5C71">
        <w:rPr>
          <w:rFonts w:ascii="Times New Roman" w:eastAsia="Times New Roman" w:hAnsi="Times New Roman" w:cs="Times New Roman"/>
          <w:sz w:val="28"/>
          <w:szCs w:val="28"/>
          <w:lang w:val="pt-BR"/>
        </w:rPr>
        <w:t xml:space="preserve"> </w:t>
      </w:r>
      <w:r w:rsidRPr="000F050B">
        <w:rPr>
          <w:rFonts w:ascii="Times New Roman" w:eastAsia="Times New Roman" w:hAnsi="Times New Roman" w:cs="Times New Roman"/>
          <w:sz w:val="28"/>
          <w:szCs w:val="28"/>
          <w:lang w:val="pt-BR"/>
        </w:rPr>
        <w:t xml:space="preserve">đối tượng chịu thuế TTĐB là quy định quan trọng của Luật Thuế TTĐB, liên quan đến nghĩa vụ nộp thuế của công dân. Do đó, để bảo đảm </w:t>
      </w:r>
      <w:r w:rsidRPr="000F050B">
        <w:rPr>
          <w:rFonts w:ascii="Times New Roman" w:eastAsia="Times New Roman" w:hAnsi="Times New Roman" w:cs="Times New Roman"/>
          <w:sz w:val="28"/>
          <w:szCs w:val="28"/>
          <w:lang w:val="pt-BR"/>
        </w:rPr>
        <w:lastRenderedPageBreak/>
        <w:t>tuân thủ Điều 47 của Hiến pháp</w:t>
      </w:r>
      <w:r w:rsidRPr="000F050B">
        <w:rPr>
          <w:rStyle w:val="FootnoteReference"/>
          <w:rFonts w:ascii="Times New Roman" w:eastAsia="Times New Roman" w:hAnsi="Times New Roman" w:cs="Times New Roman"/>
          <w:sz w:val="28"/>
          <w:szCs w:val="28"/>
          <w:lang w:val="pt-BR"/>
        </w:rPr>
        <w:footnoteReference w:id="1"/>
      </w:r>
      <w:r w:rsidRPr="000F050B">
        <w:rPr>
          <w:rFonts w:ascii="Times New Roman" w:eastAsia="Times New Roman" w:hAnsi="Times New Roman" w:cs="Times New Roman"/>
          <w:sz w:val="28"/>
          <w:szCs w:val="28"/>
          <w:lang w:val="pt-BR"/>
        </w:rPr>
        <w:t xml:space="preserve"> và đúng thẩm quyền của Quốc hội</w:t>
      </w:r>
      <w:r w:rsidRPr="000F050B">
        <w:rPr>
          <w:rStyle w:val="FootnoteReference"/>
          <w:rFonts w:ascii="Times New Roman" w:eastAsia="Times New Roman" w:hAnsi="Times New Roman" w:cs="Times New Roman"/>
          <w:sz w:val="28"/>
          <w:szCs w:val="28"/>
          <w:lang w:val="pt-BR"/>
        </w:rPr>
        <w:footnoteReference w:id="2"/>
      </w:r>
      <w:r w:rsidRPr="000F050B">
        <w:rPr>
          <w:rFonts w:ascii="Times New Roman" w:eastAsia="Times New Roman" w:hAnsi="Times New Roman" w:cs="Times New Roman"/>
          <w:sz w:val="28"/>
          <w:szCs w:val="28"/>
          <w:lang w:val="pt-BR"/>
        </w:rPr>
        <w:t xml:space="preserve">, đề nghị </w:t>
      </w:r>
      <w:r w:rsidRPr="000F050B">
        <w:rPr>
          <w:rFonts w:ascii="Times New Roman" w:hAnsi="Times New Roman" w:cs="Times New Roman"/>
          <w:sz w:val="28"/>
          <w:szCs w:val="28"/>
        </w:rPr>
        <w:t>Chính phủ đề xuất quy định cụ thể, bao quát các đối tượng thuộc diện chịu thuế trong dự thảo Luật</w:t>
      </w:r>
      <w:r w:rsidRPr="000F050B">
        <w:rPr>
          <w:rFonts w:ascii="Times New Roman" w:eastAsia="Times New Roman" w:hAnsi="Times New Roman" w:cs="Times New Roman"/>
          <w:sz w:val="28"/>
          <w:szCs w:val="28"/>
          <w:lang w:val="pt-BR"/>
        </w:rPr>
        <w:t>. Có ý kiến đề nghị quy định “Trường hợp cần thiết phải bổ sung đối tượng chịu thuế khác cho phù hợp với từng thời kỳ thì Chính phủ trình UBTVQH xem xét, quyết định”.</w:t>
      </w:r>
    </w:p>
    <w:p w:rsidR="00594B51" w:rsidRPr="000F050B" w:rsidRDefault="00594B51" w:rsidP="00594B51">
      <w:pPr>
        <w:spacing w:before="120" w:after="0" w:line="360" w:lineRule="exact"/>
        <w:ind w:firstLine="720"/>
        <w:jc w:val="both"/>
        <w:rPr>
          <w:rFonts w:ascii="Times New Roman" w:eastAsia="Times New Roman" w:hAnsi="Times New Roman" w:cs="Times New Roman"/>
          <w:b/>
          <w:sz w:val="28"/>
          <w:szCs w:val="28"/>
          <w:lang w:val="en-GB"/>
        </w:rPr>
      </w:pPr>
      <w:r w:rsidRPr="000F050B">
        <w:rPr>
          <w:rFonts w:ascii="Times New Roman" w:eastAsia="Times New Roman" w:hAnsi="Times New Roman" w:cs="Times New Roman"/>
          <w:b/>
          <w:sz w:val="28"/>
          <w:szCs w:val="28"/>
          <w:lang w:val="am-ET"/>
        </w:rPr>
        <w:t>2. Về đối tượng không chịu thuế</w:t>
      </w:r>
      <w:r w:rsidRPr="000F050B">
        <w:rPr>
          <w:rFonts w:ascii="Times New Roman" w:eastAsia="Times New Roman" w:hAnsi="Times New Roman" w:cs="Times New Roman"/>
          <w:b/>
          <w:sz w:val="28"/>
          <w:szCs w:val="28"/>
          <w:lang w:val="en-GB"/>
        </w:rPr>
        <w:t xml:space="preserve"> (Điều 3)</w:t>
      </w:r>
    </w:p>
    <w:p w:rsidR="00594B51" w:rsidRPr="000F050B" w:rsidRDefault="00594B51" w:rsidP="00594B51">
      <w:pPr>
        <w:tabs>
          <w:tab w:val="left" w:pos="851"/>
        </w:tabs>
        <w:spacing w:before="120" w:after="0" w:line="360" w:lineRule="exact"/>
        <w:ind w:firstLine="720"/>
        <w:jc w:val="both"/>
        <w:rPr>
          <w:rFonts w:ascii="Times New Roman" w:eastAsia="Times New Roman" w:hAnsi="Times New Roman" w:cs="Times New Roman"/>
          <w:b/>
          <w:i/>
          <w:sz w:val="28"/>
          <w:szCs w:val="28"/>
          <w:lang w:val="nl-NL"/>
        </w:rPr>
      </w:pPr>
      <w:r w:rsidRPr="000F050B">
        <w:rPr>
          <w:rFonts w:ascii="Times New Roman" w:eastAsia="Times New Roman" w:hAnsi="Times New Roman" w:cs="Times New Roman"/>
          <w:b/>
          <w:i/>
          <w:iCs/>
          <w:sz w:val="28"/>
          <w:szCs w:val="28"/>
          <w:lang w:val="en-GB"/>
        </w:rPr>
        <w:t>2.1.</w:t>
      </w:r>
      <w:r w:rsidRPr="000F050B">
        <w:rPr>
          <w:rFonts w:ascii="Times New Roman" w:eastAsia="Times New Roman" w:hAnsi="Times New Roman" w:cs="Times New Roman"/>
          <w:b/>
          <w:i/>
          <w:sz w:val="28"/>
          <w:szCs w:val="28"/>
          <w:lang w:val="nl-NL"/>
        </w:rPr>
        <w:t xml:space="preserve"> Nội dung quy định về tàu bay </w:t>
      </w:r>
    </w:p>
    <w:p w:rsidR="00594B51" w:rsidRPr="000F050B" w:rsidRDefault="00594B51" w:rsidP="00594B51">
      <w:pPr>
        <w:tabs>
          <w:tab w:val="left" w:pos="851"/>
        </w:tabs>
        <w:spacing w:before="120" w:after="0" w:line="360" w:lineRule="exact"/>
        <w:ind w:firstLine="720"/>
        <w:jc w:val="both"/>
        <w:rPr>
          <w:rFonts w:ascii="Times New Roman" w:eastAsia="Times New Roman" w:hAnsi="Times New Roman" w:cs="Times New Roman"/>
          <w:sz w:val="28"/>
          <w:szCs w:val="28"/>
          <w:lang w:val="nl-NL"/>
        </w:rPr>
      </w:pPr>
      <w:r w:rsidRPr="000F050B">
        <w:rPr>
          <w:rFonts w:ascii="Times New Roman" w:eastAsia="Times New Roman" w:hAnsi="Times New Roman" w:cs="Times New Roman"/>
          <w:iCs/>
          <w:sz w:val="28"/>
          <w:szCs w:val="28"/>
          <w:lang w:val="nl-NL"/>
        </w:rPr>
        <w:t xml:space="preserve">Ủy ban TCNS cho rằng, quy định tại khoản 3 Điều 3 dự thảo Luật </w:t>
      </w:r>
      <w:r w:rsidRPr="000F050B">
        <w:rPr>
          <w:rFonts w:ascii="Times New Roman" w:eastAsia="Times New Roman" w:hAnsi="Times New Roman" w:cs="Times New Roman"/>
          <w:sz w:val="28"/>
          <w:szCs w:val="28"/>
          <w:lang w:val="nl-NL"/>
        </w:rPr>
        <w:t xml:space="preserve">là mở rộng phạm vi đối tượng không chịu thuế so với Luật hiện hành. Đề nghị giải trình rõ hơn về tính phù hợp, cơ sở pháp lý vì những mục đích này cũng có thể phục vụ nhu cầu của người tiêu dùng có thu nhập cao trong xã hội, không thực sự cần thiết phải đưa vào diện không chịu thuế. </w:t>
      </w:r>
    </w:p>
    <w:p w:rsidR="00594B51" w:rsidRPr="000F050B" w:rsidRDefault="00594B51" w:rsidP="00594B51">
      <w:pPr>
        <w:tabs>
          <w:tab w:val="left" w:pos="851"/>
        </w:tabs>
        <w:spacing w:before="120" w:after="0" w:line="360" w:lineRule="exact"/>
        <w:ind w:firstLine="720"/>
        <w:jc w:val="both"/>
        <w:rPr>
          <w:rFonts w:ascii="Times New Roman" w:hAnsi="Times New Roman" w:cs="Times New Roman"/>
          <w:b/>
          <w:i/>
          <w:sz w:val="28"/>
          <w:szCs w:val="28"/>
          <w:lang w:val="nl-NL"/>
        </w:rPr>
      </w:pPr>
      <w:r w:rsidRPr="000F050B">
        <w:rPr>
          <w:rFonts w:ascii="Times New Roman" w:eastAsia="Times New Roman" w:hAnsi="Times New Roman" w:cs="Times New Roman"/>
          <w:b/>
          <w:i/>
          <w:sz w:val="28"/>
          <w:szCs w:val="28"/>
          <w:lang w:val="nl-NL"/>
        </w:rPr>
        <w:t>2.2.</w:t>
      </w:r>
      <w:r w:rsidRPr="000F050B">
        <w:rPr>
          <w:rFonts w:ascii="Times New Roman" w:eastAsia="Times New Roman" w:hAnsi="Times New Roman" w:cs="Times New Roman"/>
          <w:sz w:val="28"/>
          <w:szCs w:val="28"/>
          <w:lang w:val="nl-NL"/>
        </w:rPr>
        <w:t xml:space="preserve"> </w:t>
      </w:r>
      <w:r w:rsidRPr="000F050B">
        <w:rPr>
          <w:rFonts w:ascii="Times New Roman" w:eastAsia="Times New Roman" w:hAnsi="Times New Roman" w:cs="Times New Roman"/>
          <w:b/>
          <w:i/>
          <w:sz w:val="28"/>
          <w:szCs w:val="28"/>
          <w:lang w:val="pt-BR"/>
        </w:rPr>
        <w:t xml:space="preserve">Về việc giao Chính phủ thẩm quyền </w:t>
      </w:r>
      <w:r w:rsidRPr="000F050B">
        <w:rPr>
          <w:rFonts w:ascii="Times New Roman" w:hAnsi="Times New Roman" w:cs="Times New Roman"/>
          <w:b/>
          <w:i/>
          <w:sz w:val="28"/>
          <w:szCs w:val="28"/>
          <w:lang w:val="nl-NL"/>
        </w:rPr>
        <w:t>sửa đổi, bổ sung đối tượng không chịu thuế TTĐB</w:t>
      </w:r>
    </w:p>
    <w:p w:rsidR="00594B51" w:rsidRPr="000F050B" w:rsidRDefault="00594B51" w:rsidP="00594B51">
      <w:pPr>
        <w:overflowPunct w:val="0"/>
        <w:autoSpaceDE w:val="0"/>
        <w:autoSpaceDN w:val="0"/>
        <w:adjustRightInd w:val="0"/>
        <w:spacing w:before="120" w:after="0" w:line="360" w:lineRule="exact"/>
        <w:jc w:val="both"/>
        <w:rPr>
          <w:rFonts w:ascii="Times New Roman" w:eastAsia="Times New Roman" w:hAnsi="Times New Roman" w:cs="Times New Roman"/>
          <w:sz w:val="28"/>
          <w:szCs w:val="28"/>
          <w:lang w:val="pt-BR"/>
        </w:rPr>
      </w:pPr>
      <w:r w:rsidRPr="000F050B">
        <w:rPr>
          <w:rFonts w:ascii="Times New Roman" w:hAnsi="Times New Roman" w:cs="Times New Roman"/>
          <w:sz w:val="28"/>
          <w:szCs w:val="28"/>
          <w:lang w:val="nl-NL"/>
        </w:rPr>
        <w:tab/>
      </w:r>
      <w:r w:rsidRPr="000F050B">
        <w:rPr>
          <w:rFonts w:ascii="Times New Roman" w:eastAsia="Times New Roman" w:hAnsi="Times New Roman" w:cs="Times New Roman"/>
          <w:sz w:val="28"/>
          <w:szCs w:val="28"/>
          <w:lang w:val="pt-BR"/>
        </w:rPr>
        <w:t xml:space="preserve">Tương tự như thẩm quyền sửa đổi, bổ sung đối tượng chịu thuế, Thường trực Ủy ban Pháp luật và đa số ý kiến Ủy ban TCNS đề nghị không giao Chính phủ thẩm quyền sửa đổi, bổ sung đối tượng không chịu thuế để bảo đảm thẩm quyền của Quốc hội theo Hiến pháp. Đề nghị </w:t>
      </w:r>
      <w:r w:rsidRPr="000F050B">
        <w:rPr>
          <w:rFonts w:ascii="Times New Roman" w:hAnsi="Times New Roman" w:cs="Times New Roman"/>
          <w:sz w:val="28"/>
          <w:szCs w:val="28"/>
        </w:rPr>
        <w:t xml:space="preserve">Chính phủ rà soát để đề xuất quy định cụ thể, bao quát các đối tượng thuộc diện không chịu thuế trong dự thảo Luật. </w:t>
      </w:r>
      <w:r w:rsidRPr="000F050B">
        <w:rPr>
          <w:rFonts w:ascii="Times New Roman" w:eastAsia="Times New Roman" w:hAnsi="Times New Roman" w:cs="Times New Roman"/>
          <w:sz w:val="28"/>
          <w:szCs w:val="28"/>
          <w:lang w:val="pt-BR"/>
        </w:rPr>
        <w:t>Có ý kiến đề nghị cân nhắc, quy định theo hướng: trong trường hợp cần thiết, Chính phủ trình UBTVQH xem xét, quyết định.</w:t>
      </w:r>
    </w:p>
    <w:p w:rsidR="00594B51" w:rsidRPr="000F050B" w:rsidRDefault="00594B51" w:rsidP="00594B51">
      <w:pPr>
        <w:tabs>
          <w:tab w:val="left" w:pos="851"/>
        </w:tabs>
        <w:spacing w:before="120" w:after="0" w:line="360" w:lineRule="exact"/>
        <w:ind w:firstLine="720"/>
        <w:jc w:val="both"/>
        <w:rPr>
          <w:rFonts w:ascii="Times New Roman" w:eastAsia="Times New Roman" w:hAnsi="Times New Roman" w:cs="Times New Roman"/>
          <w:b/>
          <w:i/>
          <w:sz w:val="28"/>
          <w:szCs w:val="28"/>
          <w:lang w:val="nl-NL"/>
        </w:rPr>
      </w:pPr>
      <w:r w:rsidRPr="000F050B">
        <w:rPr>
          <w:rFonts w:ascii="Times New Roman" w:eastAsia="Times New Roman" w:hAnsi="Times New Roman" w:cs="Times New Roman"/>
          <w:i/>
          <w:iCs/>
          <w:sz w:val="28"/>
          <w:szCs w:val="28"/>
          <w:lang w:val="pt-BR"/>
        </w:rPr>
        <w:tab/>
      </w:r>
      <w:r w:rsidRPr="000F050B">
        <w:rPr>
          <w:rFonts w:ascii="Times New Roman" w:eastAsia="Times New Roman" w:hAnsi="Times New Roman" w:cs="Times New Roman"/>
          <w:b/>
          <w:bCs/>
          <w:i/>
          <w:iCs/>
          <w:sz w:val="28"/>
          <w:szCs w:val="28"/>
          <w:lang w:val="pt-BR"/>
        </w:rPr>
        <w:t xml:space="preserve">2.3 </w:t>
      </w:r>
      <w:r w:rsidRPr="000F050B">
        <w:rPr>
          <w:rFonts w:ascii="Times New Roman" w:eastAsia="Times New Roman" w:hAnsi="Times New Roman" w:cs="Times New Roman"/>
          <w:b/>
          <w:i/>
          <w:sz w:val="28"/>
          <w:szCs w:val="28"/>
          <w:lang w:val="nl-NL"/>
        </w:rPr>
        <w:t>Về hàng hóa nhập khẩu từ nước ngoài vào khu phi thuế quan, hàng hóa từ nội địa bán vào khu phi thuế quan, hàng hóa được mua bán giữa các khu phi thuế quan với nhau</w:t>
      </w:r>
    </w:p>
    <w:p w:rsidR="00594B51" w:rsidRPr="000F050B" w:rsidRDefault="00594B51" w:rsidP="00594B51">
      <w:pPr>
        <w:overflowPunct w:val="0"/>
        <w:autoSpaceDE w:val="0"/>
        <w:autoSpaceDN w:val="0"/>
        <w:adjustRightInd w:val="0"/>
        <w:spacing w:before="120" w:after="0" w:line="360" w:lineRule="exact"/>
        <w:jc w:val="both"/>
        <w:rPr>
          <w:rFonts w:ascii="Times New Roman" w:eastAsia="Times New Roman" w:hAnsi="Times New Roman" w:cs="Times New Roman"/>
          <w:sz w:val="28"/>
          <w:szCs w:val="28"/>
          <w:lang w:val="pt-BR"/>
        </w:rPr>
      </w:pPr>
      <w:r w:rsidRPr="000F050B">
        <w:rPr>
          <w:rFonts w:ascii="Times New Roman" w:eastAsia="Times New Roman" w:hAnsi="Times New Roman" w:cs="Times New Roman"/>
          <w:b/>
          <w:bCs/>
          <w:i/>
          <w:iCs/>
          <w:sz w:val="28"/>
          <w:szCs w:val="28"/>
          <w:lang w:val="pt-BR"/>
        </w:rPr>
        <w:tab/>
      </w:r>
      <w:r w:rsidRPr="000F050B">
        <w:rPr>
          <w:rFonts w:ascii="Times New Roman" w:eastAsia="Times New Roman" w:hAnsi="Times New Roman" w:cs="Times New Roman"/>
          <w:sz w:val="28"/>
          <w:szCs w:val="28"/>
          <w:lang w:val="pt-BR"/>
        </w:rPr>
        <w:t>Đa số ý kiến thống nhất việc bỏ quy định này để thể hiện đúng mục tiêu của thuế TTĐB là điều tiết sản xuất, kinh doanh, tiêu dùng đối với những hàng hóa không khuyến khích tiêu dùng, kể cả tiêu dùng ở trong khu phi thuế quan.</w:t>
      </w:r>
    </w:p>
    <w:p w:rsidR="00594B51" w:rsidRPr="000F050B" w:rsidRDefault="00594B51" w:rsidP="00594B51">
      <w:pPr>
        <w:overflowPunct w:val="0"/>
        <w:autoSpaceDE w:val="0"/>
        <w:autoSpaceDN w:val="0"/>
        <w:adjustRightInd w:val="0"/>
        <w:spacing w:before="120" w:after="0" w:line="360" w:lineRule="exact"/>
        <w:ind w:firstLine="720"/>
        <w:jc w:val="both"/>
        <w:rPr>
          <w:rFonts w:ascii="Times New Roman" w:eastAsia="Times New Roman" w:hAnsi="Times New Roman" w:cs="Times New Roman"/>
          <w:sz w:val="28"/>
          <w:szCs w:val="28"/>
          <w:lang w:val="pt-BR"/>
        </w:rPr>
      </w:pPr>
      <w:r w:rsidRPr="000F050B">
        <w:rPr>
          <w:rFonts w:ascii="Times New Roman" w:eastAsia="Times New Roman" w:hAnsi="Times New Roman" w:cs="Times New Roman"/>
          <w:sz w:val="28"/>
          <w:szCs w:val="28"/>
          <w:lang w:val="pt-BR"/>
        </w:rPr>
        <w:t>Một số ý kiến cho rằng, cần tuân thủ nguyên tắc “quan hệ mua bán, trao đổi hàng hóa giữa khu phi thuế quan với bên ngoài là quan hệ xuất khẩu, nhập khẩu”; cần đối xử với hàng hóa xuất khẩu, nhập khẩu vào khu phi thuế quan tương tự như hàng hóa xuất khẩu, nhập khẩu với nước ngoài. Vì vậy, đề nghị giữ như quy định của Luật hiện hành.</w:t>
      </w:r>
    </w:p>
    <w:p w:rsidR="00594B51" w:rsidRPr="000F050B" w:rsidRDefault="00594B51" w:rsidP="00594B51">
      <w:pPr>
        <w:spacing w:before="120" w:after="0" w:line="360" w:lineRule="exact"/>
        <w:ind w:firstLine="720"/>
        <w:jc w:val="both"/>
        <w:rPr>
          <w:rFonts w:ascii="Times New Roman" w:eastAsia="Times New Roman" w:hAnsi="Times New Roman" w:cs="Times New Roman"/>
          <w:b/>
          <w:sz w:val="28"/>
          <w:szCs w:val="28"/>
          <w:lang w:val="nl-NL"/>
        </w:rPr>
      </w:pPr>
      <w:r w:rsidRPr="000F050B">
        <w:rPr>
          <w:rFonts w:ascii="Times New Roman" w:eastAsia="Times New Roman" w:hAnsi="Times New Roman" w:cs="Times New Roman"/>
          <w:b/>
          <w:bCs/>
          <w:sz w:val="28"/>
          <w:szCs w:val="28"/>
          <w:lang w:val="nl-NL"/>
        </w:rPr>
        <w:t>3.</w:t>
      </w:r>
      <w:r w:rsidRPr="000F050B">
        <w:rPr>
          <w:rFonts w:ascii="Times New Roman" w:eastAsia="Times New Roman" w:hAnsi="Times New Roman" w:cs="Times New Roman"/>
          <w:b/>
          <w:sz w:val="28"/>
          <w:szCs w:val="28"/>
          <w:lang w:val="nl-NL"/>
        </w:rPr>
        <w:t xml:space="preserve"> Về thuế suất (Điều 8)</w:t>
      </w:r>
    </w:p>
    <w:p w:rsidR="00594B51" w:rsidRPr="000F050B" w:rsidRDefault="00594B51" w:rsidP="00594B51">
      <w:pPr>
        <w:spacing w:before="120" w:after="0" w:line="360" w:lineRule="exact"/>
        <w:ind w:firstLine="720"/>
        <w:jc w:val="both"/>
        <w:rPr>
          <w:rFonts w:ascii="Times New Roman" w:eastAsia="Times New Roman" w:hAnsi="Times New Roman" w:cs="Times New Roman"/>
          <w:b/>
          <w:i/>
          <w:sz w:val="28"/>
          <w:szCs w:val="28"/>
          <w:lang w:val="nl-NL"/>
        </w:rPr>
      </w:pPr>
      <w:r w:rsidRPr="000F050B">
        <w:rPr>
          <w:rFonts w:ascii="Times New Roman" w:eastAsia="Times New Roman" w:hAnsi="Times New Roman" w:cs="Times New Roman"/>
          <w:b/>
          <w:i/>
          <w:sz w:val="28"/>
          <w:szCs w:val="28"/>
          <w:lang w:val="nl-NL"/>
        </w:rPr>
        <w:t>3.1. Về việc bổ sung mức thuế tuyệt đối đối với mặt hàng thuốc lá</w:t>
      </w:r>
    </w:p>
    <w:p w:rsidR="00594B51" w:rsidRPr="000F050B" w:rsidRDefault="00594B51" w:rsidP="00594B51">
      <w:pPr>
        <w:spacing w:before="120" w:after="0" w:line="360" w:lineRule="exact"/>
        <w:ind w:firstLine="720"/>
        <w:jc w:val="both"/>
        <w:rPr>
          <w:rFonts w:ascii="Times New Roman" w:eastAsia="Times New Roman" w:hAnsi="Times New Roman" w:cs="Times New Roman"/>
          <w:iCs/>
          <w:sz w:val="28"/>
          <w:szCs w:val="28"/>
        </w:rPr>
      </w:pPr>
      <w:r w:rsidRPr="000F050B">
        <w:rPr>
          <w:rFonts w:ascii="Times New Roman" w:eastAsia="Times New Roman" w:hAnsi="Times New Roman" w:cs="Times New Roman"/>
          <w:iCs/>
          <w:sz w:val="28"/>
          <w:szCs w:val="28"/>
          <w:lang w:val="nl-NL"/>
        </w:rPr>
        <w:lastRenderedPageBreak/>
        <w:t xml:space="preserve">Lộ trình tăng thuế đối với các mặt hàng thuốc lá theo phương án 2 để </w:t>
      </w:r>
      <w:r w:rsidRPr="000F050B">
        <w:rPr>
          <w:rFonts w:ascii="Times New Roman" w:eastAsia="Times New Roman" w:hAnsi="Times New Roman" w:cs="Times New Roman"/>
          <w:iCs/>
          <w:sz w:val="28"/>
          <w:szCs w:val="28"/>
          <w:lang w:val="en-GB"/>
        </w:rPr>
        <w:t xml:space="preserve">góp phần </w:t>
      </w:r>
      <w:r w:rsidRPr="000F050B">
        <w:rPr>
          <w:rFonts w:ascii="Times New Roman" w:eastAsia="Times New Roman" w:hAnsi="Times New Roman" w:cs="Times New Roman"/>
          <w:iCs/>
          <w:sz w:val="28"/>
          <w:szCs w:val="28"/>
        </w:rPr>
        <w:t>tăng tính hiệu quả của chính sách trong định hướng tiêu dùng và phù hợp với xu hướng cải cách thuế của các nước.</w:t>
      </w:r>
    </w:p>
    <w:p w:rsidR="00594B51" w:rsidRPr="000F050B" w:rsidRDefault="00594B51" w:rsidP="00594B51">
      <w:pPr>
        <w:spacing w:before="120" w:after="0" w:line="360" w:lineRule="exact"/>
        <w:ind w:firstLine="720"/>
        <w:jc w:val="both"/>
        <w:rPr>
          <w:rFonts w:ascii="Times New Roman" w:eastAsia="Times New Roman" w:hAnsi="Times New Roman" w:cs="Times New Roman"/>
          <w:b/>
          <w:i/>
          <w:sz w:val="28"/>
          <w:szCs w:val="28"/>
          <w:lang w:val="nl-NL"/>
        </w:rPr>
      </w:pPr>
      <w:r w:rsidRPr="000F050B">
        <w:rPr>
          <w:rFonts w:ascii="Times New Roman" w:eastAsia="Times New Roman" w:hAnsi="Times New Roman" w:cs="Times New Roman"/>
          <w:b/>
          <w:i/>
          <w:sz w:val="28"/>
          <w:szCs w:val="28"/>
          <w:lang w:val="nl-NL"/>
        </w:rPr>
        <w:t>3.2. Về việc tăng thuế suất thuế TTĐB đối với rượu, bia theo lộ trình</w:t>
      </w:r>
    </w:p>
    <w:p w:rsidR="00594B51" w:rsidRPr="000F050B" w:rsidRDefault="00594B51" w:rsidP="00594B51">
      <w:pPr>
        <w:suppressAutoHyphens/>
        <w:spacing w:before="120" w:after="0" w:line="360" w:lineRule="exact"/>
        <w:ind w:firstLine="720"/>
        <w:jc w:val="both"/>
        <w:rPr>
          <w:rFonts w:ascii="Times New Roman" w:eastAsia="Times New Roman" w:hAnsi="Times New Roman" w:cs="Times New Roman"/>
          <w:sz w:val="28"/>
          <w:szCs w:val="28"/>
          <w:lang w:val="nl-NL"/>
        </w:rPr>
      </w:pPr>
      <w:r w:rsidRPr="000F050B">
        <w:rPr>
          <w:rFonts w:ascii="Times New Roman" w:eastAsia="Times New Roman" w:hAnsi="Times New Roman" w:cs="Times New Roman"/>
          <w:sz w:val="28"/>
          <w:szCs w:val="28"/>
          <w:lang w:val="nl-NL"/>
        </w:rPr>
        <w:t xml:space="preserve">Đa số ý kiến </w:t>
      </w:r>
      <w:r w:rsidRPr="000F050B">
        <w:rPr>
          <w:rFonts w:ascii="Times New Roman" w:eastAsia="Times New Roman" w:hAnsi="Times New Roman" w:cs="Times New Roman"/>
          <w:sz w:val="28"/>
          <w:szCs w:val="28"/>
          <w:lang w:val="sv-SE"/>
        </w:rPr>
        <w:t xml:space="preserve">đồng tình với </w:t>
      </w:r>
      <w:r w:rsidRPr="000F050B">
        <w:rPr>
          <w:rFonts w:ascii="Times New Roman" w:eastAsia="Times New Roman" w:hAnsi="Times New Roman" w:cs="Times New Roman"/>
          <w:sz w:val="28"/>
          <w:szCs w:val="28"/>
        </w:rPr>
        <w:t>việc</w:t>
      </w:r>
      <w:r w:rsidRPr="000F050B">
        <w:rPr>
          <w:rFonts w:ascii="Times New Roman" w:eastAsia="Times New Roman" w:hAnsi="Times New Roman" w:cs="Times New Roman"/>
          <w:sz w:val="28"/>
          <w:szCs w:val="28"/>
          <w:lang w:val="sv-SE"/>
        </w:rPr>
        <w:t xml:space="preserve"> </w:t>
      </w:r>
      <w:r w:rsidRPr="000F050B">
        <w:rPr>
          <w:rFonts w:ascii="Times New Roman" w:eastAsia="Times New Roman" w:hAnsi="Times New Roman" w:cs="Times New Roman"/>
          <w:iCs/>
          <w:sz w:val="28"/>
          <w:szCs w:val="28"/>
          <w:lang w:val="am-ET"/>
        </w:rPr>
        <w:t>t</w:t>
      </w:r>
      <w:r w:rsidRPr="000F050B">
        <w:rPr>
          <w:rFonts w:ascii="Times New Roman" w:eastAsia="Times New Roman" w:hAnsi="Times New Roman" w:cs="Times New Roman"/>
          <w:sz w:val="28"/>
          <w:szCs w:val="28"/>
          <w:lang w:val="sv-SE"/>
        </w:rPr>
        <w:t xml:space="preserve">ăng thuế như phương án 2. Một số ý kiến </w:t>
      </w:r>
      <w:r w:rsidRPr="000F050B">
        <w:rPr>
          <w:rFonts w:ascii="Times New Roman" w:eastAsia="Arial" w:hAnsi="Times New Roman" w:cs="Times New Roman"/>
          <w:sz w:val="28"/>
          <w:szCs w:val="28"/>
          <w:lang w:eastAsia="vi-VN"/>
        </w:rPr>
        <w:t>đề nghị cân nhắc tính toán, đề xuất mức tăng hợp lý để có thể đạt được các mục tiêu đặt ra.</w:t>
      </w:r>
      <w:r w:rsidRPr="000F050B">
        <w:rPr>
          <w:rFonts w:ascii="Times New Roman" w:eastAsia="Times New Roman" w:hAnsi="Times New Roman" w:cs="Times New Roman"/>
          <w:sz w:val="28"/>
          <w:szCs w:val="28"/>
          <w:lang w:val="nl-NL"/>
        </w:rPr>
        <w:t xml:space="preserve"> Có ý kiến cho rằng, việc quy định thuế suất đối với bia bằng thuế suất đối với rượu trên 20</w:t>
      </w:r>
      <w:r w:rsidRPr="000F050B">
        <w:rPr>
          <w:rFonts w:ascii="Times New Roman" w:eastAsia="Times New Roman" w:hAnsi="Times New Roman" w:cs="Times New Roman"/>
          <w:sz w:val="28"/>
          <w:szCs w:val="28"/>
          <w:vertAlign w:val="superscript"/>
          <w:lang w:val="nl-NL"/>
        </w:rPr>
        <w:t xml:space="preserve"> </w:t>
      </w:r>
      <w:r w:rsidRPr="000F050B">
        <w:rPr>
          <w:rFonts w:ascii="Times New Roman" w:eastAsia="Times New Roman" w:hAnsi="Times New Roman" w:cs="Times New Roman"/>
          <w:sz w:val="28"/>
          <w:szCs w:val="28"/>
          <w:lang w:val="nl-NL"/>
        </w:rPr>
        <w:t xml:space="preserve">độ là chưa thực sự phù hợp vì tác hại của rượu hay bia phụ thuộc chính vào nồng độ cồn. </w:t>
      </w:r>
    </w:p>
    <w:p w:rsidR="00594B51" w:rsidRPr="000F050B" w:rsidRDefault="00594B51" w:rsidP="00594B51">
      <w:pPr>
        <w:spacing w:before="120" w:after="0" w:line="360" w:lineRule="exact"/>
        <w:ind w:firstLine="720"/>
        <w:jc w:val="both"/>
        <w:rPr>
          <w:rFonts w:ascii="Times New Roman" w:eastAsia="Times New Roman" w:hAnsi="Times New Roman" w:cs="Times New Roman"/>
          <w:b/>
          <w:i/>
          <w:iCs/>
          <w:sz w:val="28"/>
          <w:szCs w:val="28"/>
          <w:lang w:val="nl-NL"/>
        </w:rPr>
      </w:pPr>
      <w:r w:rsidRPr="000F050B">
        <w:rPr>
          <w:rFonts w:ascii="Times New Roman" w:eastAsia="Times New Roman" w:hAnsi="Times New Roman" w:cs="Times New Roman"/>
          <w:b/>
          <w:i/>
          <w:sz w:val="28"/>
          <w:szCs w:val="28"/>
          <w:lang w:val="nl-NL"/>
        </w:rPr>
        <w:t xml:space="preserve">3.3. Về việc sửa </w:t>
      </w:r>
      <w:r w:rsidRPr="000F050B">
        <w:rPr>
          <w:rFonts w:ascii="Times New Roman" w:eastAsia="Times New Roman" w:hAnsi="Times New Roman" w:cs="Times New Roman"/>
          <w:b/>
          <w:i/>
          <w:iCs/>
          <w:sz w:val="28"/>
          <w:szCs w:val="28"/>
          <w:lang w:val="nl-NL"/>
        </w:rPr>
        <w:t xml:space="preserve">đổi, bổ sung mô tả và mức thuế suất thuế TTĐB đối với ô tô sử dụng năng lượng thân thiện với môi trường và sửa đổi thuế suất đối với mặt hàng xe ô tô pick-up chở hàng cabin kép </w:t>
      </w:r>
    </w:p>
    <w:p w:rsidR="00594B51" w:rsidRPr="000F050B" w:rsidRDefault="00594B51" w:rsidP="00594B51">
      <w:pPr>
        <w:spacing w:before="120" w:after="0" w:line="360" w:lineRule="exact"/>
        <w:ind w:firstLine="720"/>
        <w:jc w:val="both"/>
        <w:rPr>
          <w:rFonts w:ascii="Times New Roman" w:eastAsia="Times New Roman" w:hAnsi="Times New Roman" w:cs="Times New Roman"/>
          <w:iCs/>
          <w:spacing w:val="-2"/>
          <w:sz w:val="28"/>
          <w:szCs w:val="28"/>
          <w:lang w:val="nl-NL"/>
        </w:rPr>
      </w:pPr>
      <w:r w:rsidRPr="000F050B">
        <w:rPr>
          <w:rFonts w:ascii="Times New Roman" w:eastAsia="Times New Roman" w:hAnsi="Times New Roman" w:cs="Times New Roman"/>
          <w:iCs/>
          <w:spacing w:val="-2"/>
          <w:sz w:val="28"/>
          <w:szCs w:val="28"/>
          <w:lang w:val="nl-NL"/>
        </w:rPr>
        <w:t>Đa số ý kiến nhất trí với đề xuất quy định thuế suất thấp hơn đối với các loại xe sử dụng năng lượng thân thiện với môi trường để giảm phát thải khí nhà kính, phù hợp với xu thế của quốc tế. Có ý kiến đề nghị thuế suất đối với xe chạy bằng xăng kết hợp năng lượng điện không có hệ thống sạc điện riêng (HEV) bằng 70% xe chạy bằng xăng, dầu cùng loại; xe chạy bằng xăng kết hợp năng lượng điện có hệ thống sạc điện riêng (PHEV) bằng 50% xe chạy bằng xăng, dầu cùng loại.</w:t>
      </w:r>
    </w:p>
    <w:p w:rsidR="00594B51" w:rsidRPr="000F050B" w:rsidRDefault="00594B51" w:rsidP="00594B51">
      <w:pPr>
        <w:spacing w:before="120" w:after="0" w:line="360" w:lineRule="exact"/>
        <w:ind w:firstLine="720"/>
        <w:jc w:val="both"/>
        <w:rPr>
          <w:rFonts w:ascii="Times New Roman" w:eastAsia="Times New Roman" w:hAnsi="Times New Roman" w:cs="Times New Roman"/>
          <w:iCs/>
          <w:sz w:val="28"/>
          <w:szCs w:val="28"/>
          <w:lang w:val="nl-NL"/>
        </w:rPr>
      </w:pPr>
      <w:r w:rsidRPr="000F050B">
        <w:rPr>
          <w:rFonts w:ascii="Times New Roman" w:eastAsia="Times New Roman" w:hAnsi="Times New Roman" w:cs="Times New Roman"/>
          <w:iCs/>
          <w:sz w:val="28"/>
          <w:szCs w:val="28"/>
          <w:lang w:val="nl-NL"/>
        </w:rPr>
        <w:t xml:space="preserve">Về thuế suất đối với mặt hàng xe ô tô pick-up chở hàng cabin kép: Đa số ý kiến cho rằng, việc nâng thuế suất như đề nghị của Chính phủ là phù hợp để </w:t>
      </w:r>
      <w:r w:rsidRPr="000F050B">
        <w:rPr>
          <w:rFonts w:ascii="Times New Roman" w:hAnsi="Times New Roman" w:cs="Times New Roman"/>
          <w:iCs/>
          <w:sz w:val="28"/>
          <w:szCs w:val="28"/>
          <w:lang w:val="vi-VN"/>
        </w:rPr>
        <w:t>điều tiết hạn chế sử dụng phương tiện giao thông</w:t>
      </w:r>
      <w:r w:rsidRPr="000F050B">
        <w:rPr>
          <w:rFonts w:ascii="Times New Roman" w:eastAsia="Times New Roman" w:hAnsi="Times New Roman" w:cs="Times New Roman"/>
          <w:iCs/>
          <w:sz w:val="28"/>
          <w:szCs w:val="28"/>
          <w:lang w:val="nl-NL"/>
        </w:rPr>
        <w:t>, góp phần bảo đảm việc sử dụng xe ô tô vừa chở người vừa chở hàng theo đúng mục tiêu thiết kế xe, tránh lợi dụng chính sách và bảo đảm tính đồng bộ của hệ thống pháp luật. Một số ý kiến cho rằng, xe pick-up chở hàng cabin kép bản chất là xe ô tô tải, với công năng chính là vận tải hàng hóa, phục vụ kinh doanh nhỏ và vừa, thuận tiện và đơn giản trong vận chuyển hàng hóa. Do đó, đề nghị giữ nguyên mức thuế suất thuế TTĐB theo Luật hiện hành. Trường hợp tăng thuế thì cần đánh giá cụ thể để tránh ảnh hưởng tới sản xuất, kinh doanh và thu hút đầu tư, đồng thời, điều chỉnh tỷ lệ tăng thuế phù hợp (phương án của Chính phủ trình thì mức thuế TTĐB tăng 2 lần so với quy định hiện hành) và cần có lộ trình phù hợp.</w:t>
      </w:r>
    </w:p>
    <w:p w:rsidR="00594B51" w:rsidRPr="000F050B" w:rsidRDefault="00594B51" w:rsidP="00594B51">
      <w:pPr>
        <w:spacing w:before="120" w:after="0" w:line="380" w:lineRule="exact"/>
        <w:ind w:firstLine="720"/>
        <w:jc w:val="both"/>
        <w:rPr>
          <w:rFonts w:ascii="Times New Roman" w:eastAsia="Times New Roman" w:hAnsi="Times New Roman" w:cs="Times New Roman"/>
          <w:b/>
          <w:i/>
          <w:iCs/>
          <w:sz w:val="28"/>
          <w:szCs w:val="28"/>
          <w:lang w:val="nl-NL"/>
        </w:rPr>
      </w:pPr>
      <w:r w:rsidRPr="000F050B">
        <w:rPr>
          <w:rFonts w:ascii="Times New Roman" w:eastAsia="Times New Roman" w:hAnsi="Times New Roman" w:cs="Times New Roman"/>
          <w:b/>
          <w:i/>
          <w:iCs/>
          <w:sz w:val="28"/>
          <w:szCs w:val="28"/>
          <w:lang w:val="nl-NL"/>
        </w:rPr>
        <w:t>3.4. Về quy định đối với mặt hàng nước giải khát theo Tiêu chuẩn Việt Nam (TCVN), có hàm lượng đường trên 5g/100ml</w:t>
      </w:r>
    </w:p>
    <w:p w:rsidR="00594B51" w:rsidRPr="000F050B" w:rsidRDefault="00594B51" w:rsidP="00594B51">
      <w:pPr>
        <w:widowControl w:val="0"/>
        <w:spacing w:before="120" w:after="0" w:line="380" w:lineRule="exact"/>
        <w:ind w:firstLine="720"/>
        <w:jc w:val="both"/>
        <w:rPr>
          <w:rFonts w:ascii="Times New Roman" w:hAnsi="Times New Roman" w:cs="Times New Roman"/>
          <w:iCs/>
          <w:sz w:val="28"/>
          <w:szCs w:val="28"/>
          <w:lang w:val="en-GB"/>
        </w:rPr>
      </w:pPr>
      <w:r w:rsidRPr="000F050B">
        <w:rPr>
          <w:rFonts w:ascii="Times New Roman" w:eastAsia="Times New Roman" w:hAnsi="Times New Roman" w:cs="Times New Roman"/>
          <w:iCs/>
          <w:sz w:val="28"/>
          <w:szCs w:val="28"/>
          <w:lang w:val="nl-NL"/>
        </w:rPr>
        <w:t>Đa số ý kiến nhất trí với đề xuất của Chính phủ về việc áp dụng mức thuế suất 10% đối với mặt hàng này</w:t>
      </w:r>
      <w:r w:rsidRPr="000F050B">
        <w:rPr>
          <w:rFonts w:ascii="Times New Roman" w:hAnsi="Times New Roman" w:cs="Times New Roman"/>
          <w:iCs/>
          <w:sz w:val="28"/>
          <w:szCs w:val="28"/>
          <w:lang w:val="vi-VN"/>
        </w:rPr>
        <w:t>.</w:t>
      </w:r>
      <w:r w:rsidRPr="000F050B">
        <w:rPr>
          <w:rFonts w:ascii="Times New Roman" w:hAnsi="Times New Roman" w:cs="Times New Roman"/>
          <w:iCs/>
          <w:sz w:val="28"/>
          <w:szCs w:val="28"/>
          <w:lang w:val="en-GB"/>
        </w:rPr>
        <w:t xml:space="preserve"> Tuy nhiên, </w:t>
      </w:r>
      <w:r w:rsidRPr="000F050B">
        <w:rPr>
          <w:rFonts w:ascii="Times New Roman" w:eastAsia="Times New Roman" w:hAnsi="Times New Roman" w:cs="Times New Roman"/>
          <w:iCs/>
          <w:sz w:val="28"/>
          <w:szCs w:val="28"/>
          <w:lang w:val="nl-NL"/>
        </w:rPr>
        <w:t>một số ý kiến cho rằng, mục tiêu chính của việc đề xuất bổ sung đồ uống có đường vào diện chịu thuế là để điều tiết, định hướng hành vi sản xuất, tiêu dùng đối với sản phẩm này, góp phần bảo vệ sức khỏe người dân</w:t>
      </w:r>
      <w:r w:rsidRPr="000F050B">
        <w:rPr>
          <w:rFonts w:ascii="Times New Roman" w:hAnsi="Times New Roman" w:cs="Times New Roman"/>
          <w:iCs/>
          <w:sz w:val="28"/>
          <w:szCs w:val="28"/>
          <w:lang w:val="en-GB"/>
        </w:rPr>
        <w:t xml:space="preserve">. </w:t>
      </w:r>
      <w:r w:rsidRPr="000F050B">
        <w:rPr>
          <w:rFonts w:ascii="Times New Roman" w:eastAsia="Times New Roman" w:hAnsi="Times New Roman" w:cs="Times New Roman"/>
          <w:iCs/>
          <w:sz w:val="28"/>
          <w:szCs w:val="28"/>
          <w:lang w:val="nl-NL"/>
        </w:rPr>
        <w:t xml:space="preserve">Tuy nhiên, mức thuế suất 10% là khá thấp, có thể không đủ để </w:t>
      </w:r>
      <w:r w:rsidRPr="000F050B">
        <w:rPr>
          <w:rFonts w:ascii="Times New Roman" w:eastAsia="Times New Roman" w:hAnsi="Times New Roman" w:cs="Times New Roman"/>
          <w:iCs/>
          <w:sz w:val="28"/>
          <w:szCs w:val="28"/>
          <w:lang w:val="nl-NL"/>
        </w:rPr>
        <w:lastRenderedPageBreak/>
        <w:t xml:space="preserve">tác động, thay đổi thói quen tiêu dùng của người dân, dẫn đến không đạt được mục tiêu đặt ra trong ban hành chính sách. Do đó, </w:t>
      </w:r>
      <w:r w:rsidRPr="000F050B">
        <w:rPr>
          <w:rFonts w:ascii="Times New Roman" w:hAnsi="Times New Roman" w:cs="Times New Roman"/>
          <w:iCs/>
          <w:sz w:val="28"/>
          <w:szCs w:val="28"/>
          <w:lang w:val="en-GB"/>
        </w:rPr>
        <w:t>cần cân nhắc để đề xuất mức thuế cao hơn để đạt được mục tiêu điều tiết tiêu dùng, bảo vệ sức khỏe người dân.</w:t>
      </w:r>
    </w:p>
    <w:p w:rsidR="00594B51" w:rsidRPr="000F050B" w:rsidRDefault="00594B51" w:rsidP="00594B51">
      <w:pPr>
        <w:keepNext/>
        <w:spacing w:before="120" w:after="120" w:line="360" w:lineRule="exact"/>
        <w:ind w:firstLine="720"/>
        <w:jc w:val="both"/>
        <w:outlineLvl w:val="0"/>
        <w:rPr>
          <w:rFonts w:ascii="Times New Roman" w:hAnsi="Times New Roman" w:cs="Times New Roman"/>
          <w:spacing w:val="-2"/>
          <w:sz w:val="28"/>
          <w:szCs w:val="28"/>
          <w:lang w:val="vi-VN"/>
        </w:rPr>
      </w:pPr>
      <w:r w:rsidRPr="000F050B">
        <w:rPr>
          <w:rFonts w:ascii="Times New Roman" w:hAnsi="Times New Roman" w:cs="Times New Roman"/>
          <w:iCs/>
          <w:sz w:val="28"/>
          <w:szCs w:val="28"/>
          <w:lang w:val="en-GB"/>
        </w:rPr>
        <w:t>Ngoài các</w:t>
      </w:r>
      <w:r w:rsidRPr="000F050B">
        <w:rPr>
          <w:rFonts w:ascii="Times New Roman" w:hAnsi="Times New Roman" w:cs="Times New Roman"/>
          <w:sz w:val="28"/>
          <w:szCs w:val="28"/>
          <w:lang w:val="en-GB"/>
        </w:rPr>
        <w:t xml:space="preserve"> nội dung cơ bản nêu trên, nhiều nội dung thẩm tra khác đã được thể hiện cụ thể tại </w:t>
      </w:r>
      <w:r w:rsidRPr="000F050B">
        <w:rPr>
          <w:rFonts w:ascii="Times New Roman" w:hAnsi="Times New Roman" w:cs="Times New Roman"/>
          <w:sz w:val="28"/>
          <w:szCs w:val="28"/>
          <w:lang w:val="nl-NL"/>
        </w:rPr>
        <w:t>Báo cáo</w:t>
      </w:r>
      <w:r w:rsidRPr="000F050B">
        <w:rPr>
          <w:rFonts w:ascii="Times New Roman" w:hAnsi="Times New Roman" w:cs="Times New Roman"/>
          <w:sz w:val="28"/>
          <w:szCs w:val="28"/>
          <w:lang w:val="vi-VN"/>
        </w:rPr>
        <w:t xml:space="preserve"> </w:t>
      </w:r>
      <w:r w:rsidRPr="000F050B">
        <w:rPr>
          <w:rFonts w:ascii="Times New Roman" w:hAnsi="Times New Roman" w:cs="Times New Roman"/>
          <w:sz w:val="28"/>
          <w:szCs w:val="28"/>
          <w:lang w:val="nl-NL"/>
        </w:rPr>
        <w:t>số 2580/BC-UBTCNS15</w:t>
      </w:r>
      <w:r w:rsidRPr="000F050B">
        <w:rPr>
          <w:rFonts w:ascii="Times New Roman" w:hAnsi="Times New Roman" w:cs="Times New Roman"/>
          <w:sz w:val="28"/>
          <w:szCs w:val="28"/>
          <w:lang w:val="en-GB"/>
        </w:rPr>
        <w:t xml:space="preserve">. </w:t>
      </w:r>
      <w:r w:rsidRPr="000F050B">
        <w:rPr>
          <w:rFonts w:ascii="Times New Roman" w:hAnsi="Times New Roman" w:cs="Times New Roman"/>
          <w:sz w:val="28"/>
          <w:szCs w:val="28"/>
          <w:lang w:val="vi-VN"/>
        </w:rPr>
        <w:t>Uỷ ban TCNS</w:t>
      </w:r>
      <w:r w:rsidRPr="000F050B">
        <w:rPr>
          <w:rFonts w:ascii="Times New Roman" w:hAnsi="Times New Roman" w:cs="Times New Roman"/>
          <w:sz w:val="28"/>
          <w:szCs w:val="28"/>
          <w:lang w:val="en-GB"/>
        </w:rPr>
        <w:t xml:space="preserve"> xin trân trọng báo cáo và đề nghị các vị đại biểu Quốc hội tập trung thảo luận, cho ý kiến về các nội dung nêu trên</w:t>
      </w:r>
      <w:r w:rsidRPr="000F050B">
        <w:rPr>
          <w:rFonts w:ascii="Times New Roman" w:hAnsi="Times New Roman" w:cs="Times New Roman"/>
          <w:sz w:val="28"/>
          <w:szCs w:val="28"/>
          <w:lang w:val="vi-VN"/>
        </w:rPr>
        <w:t xml:space="preserve"> cũng như những vấn đề khác mà đại biểu quan tâm</w:t>
      </w:r>
      <w:r w:rsidRPr="000F050B">
        <w:rPr>
          <w:rFonts w:ascii="Times New Roman" w:hAnsi="Times New Roman" w:cs="Times New Roman"/>
          <w:sz w:val="28"/>
          <w:szCs w:val="28"/>
          <w:lang w:val="en-GB"/>
        </w:rPr>
        <w:t xml:space="preserve"> trong quá trình thảo luận tại Tổ và Hội trường của Kỳ họp thứ 8, Quốc hội khóa XV.</w:t>
      </w:r>
    </w:p>
    <w:p w:rsidR="00594B51" w:rsidRPr="000F050B" w:rsidRDefault="00594B51" w:rsidP="00594B51">
      <w:pPr>
        <w:keepNext/>
        <w:spacing w:before="120" w:line="360" w:lineRule="exact"/>
        <w:ind w:firstLine="720"/>
        <w:jc w:val="both"/>
        <w:outlineLvl w:val="0"/>
        <w:rPr>
          <w:rFonts w:ascii="Times New Roman" w:hAnsi="Times New Roman" w:cs="Times New Roman"/>
          <w:sz w:val="28"/>
          <w:szCs w:val="28"/>
          <w:lang w:val="it-IT"/>
        </w:rPr>
      </w:pPr>
      <w:r w:rsidRPr="000F050B">
        <w:rPr>
          <w:rFonts w:ascii="Times New Roman" w:hAnsi="Times New Roman" w:cs="Times New Roman"/>
          <w:sz w:val="28"/>
          <w:szCs w:val="28"/>
          <w:lang w:val="it-IT"/>
        </w:rPr>
        <w:t>Trên đây là Báo cáo thẩm tra tóm tắt của Ủy ban Tài chính, Ngân sách</w:t>
      </w:r>
      <w:r w:rsidRPr="000F050B">
        <w:rPr>
          <w:rFonts w:ascii="Times New Roman" w:hAnsi="Times New Roman" w:cs="Times New Roman"/>
          <w:sz w:val="28"/>
          <w:szCs w:val="28"/>
          <w:lang w:val="vi-VN"/>
        </w:rPr>
        <w:t xml:space="preserve"> </w:t>
      </w:r>
      <w:r w:rsidRPr="000F050B">
        <w:rPr>
          <w:rFonts w:ascii="Times New Roman" w:hAnsi="Times New Roman" w:cs="Times New Roman"/>
          <w:sz w:val="28"/>
          <w:szCs w:val="28"/>
          <w:lang w:val="en-GB"/>
        </w:rPr>
        <w:t xml:space="preserve">về Dự án Luật Thuế tiêu thụ đặc biệt (sửa đổi). </w:t>
      </w:r>
      <w:r w:rsidRPr="000F050B">
        <w:rPr>
          <w:rFonts w:ascii="Times New Roman" w:hAnsi="Times New Roman" w:cs="Times New Roman"/>
          <w:sz w:val="28"/>
          <w:szCs w:val="28"/>
          <w:lang w:val="vi-VN"/>
        </w:rPr>
        <w:t>Ủy ban Tài chính, Ngân sách t</w:t>
      </w:r>
      <w:r w:rsidRPr="000F050B">
        <w:rPr>
          <w:rFonts w:ascii="Times New Roman" w:hAnsi="Times New Roman" w:cs="Times New Roman"/>
          <w:sz w:val="28"/>
          <w:szCs w:val="28"/>
          <w:lang w:val="it-IT"/>
        </w:rPr>
        <w:t>rân trọng báo cáo Quốc hội.</w:t>
      </w:r>
    </w:p>
    <w:p w:rsidR="00594B51" w:rsidRPr="000F050B" w:rsidRDefault="00594B51" w:rsidP="00594B51">
      <w:pPr>
        <w:keepNext/>
        <w:spacing w:before="120" w:line="360" w:lineRule="exact"/>
        <w:ind w:left="4320" w:firstLine="720"/>
        <w:jc w:val="both"/>
        <w:outlineLvl w:val="0"/>
        <w:rPr>
          <w:rFonts w:ascii="Times New Roman" w:hAnsi="Times New Roman" w:cs="Times New Roman"/>
          <w:sz w:val="24"/>
          <w:szCs w:val="24"/>
          <w:lang w:val="it-IT"/>
        </w:rPr>
      </w:pPr>
      <w:r w:rsidRPr="000F050B">
        <w:rPr>
          <w:rFonts w:ascii="Times New Roman" w:hAnsi="Times New Roman" w:cs="Times New Roman"/>
          <w:b/>
          <w:sz w:val="24"/>
          <w:szCs w:val="24"/>
          <w:lang w:val="it-IT"/>
        </w:rPr>
        <w:t>ỦY BAN TÀI CHÍNH, NGÂN SÁCH</w:t>
      </w:r>
    </w:p>
    <w:p w:rsidR="00594B51" w:rsidRPr="000F050B" w:rsidRDefault="00594B51" w:rsidP="00594B51">
      <w:pPr>
        <w:spacing w:before="120" w:after="0" w:line="360" w:lineRule="exact"/>
        <w:ind w:firstLine="720"/>
        <w:jc w:val="both"/>
        <w:rPr>
          <w:rFonts w:ascii="Times New Roman" w:eastAsia="Times New Roman" w:hAnsi="Times New Roman" w:cs="Times New Roman"/>
          <w:sz w:val="28"/>
          <w:szCs w:val="28"/>
          <w:lang w:val="nl-NL"/>
        </w:rPr>
      </w:pPr>
    </w:p>
    <w:p w:rsidR="00594B51" w:rsidRPr="000F050B" w:rsidRDefault="00594B51" w:rsidP="00594B51">
      <w:pPr>
        <w:tabs>
          <w:tab w:val="left" w:pos="851"/>
        </w:tabs>
        <w:spacing w:before="120" w:after="0" w:line="360" w:lineRule="exact"/>
        <w:ind w:firstLine="720"/>
        <w:jc w:val="both"/>
        <w:rPr>
          <w:rFonts w:ascii="Times New Roman" w:hAnsi="Times New Roman" w:cs="Times New Roman"/>
        </w:rPr>
      </w:pPr>
    </w:p>
    <w:p w:rsidR="00AF4988" w:rsidRDefault="00AF4988">
      <w:bookmarkStart w:id="1" w:name="_GoBack"/>
      <w:bookmarkEnd w:id="1"/>
    </w:p>
    <w:sectPr w:rsidR="00AF4988" w:rsidSect="00A93860">
      <w:headerReference w:type="default" r:id="rId6"/>
      <w:foot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374" w:rsidRDefault="00195374" w:rsidP="00594B51">
      <w:pPr>
        <w:spacing w:after="0" w:line="240" w:lineRule="auto"/>
      </w:pPr>
      <w:r>
        <w:separator/>
      </w:r>
    </w:p>
  </w:endnote>
  <w:endnote w:type="continuationSeparator" w:id="0">
    <w:p w:rsidR="00195374" w:rsidRDefault="00195374" w:rsidP="0059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600712"/>
      <w:docPartObj>
        <w:docPartGallery w:val="Page Numbers (Bottom of Page)"/>
        <w:docPartUnique/>
      </w:docPartObj>
    </w:sdtPr>
    <w:sdtEndPr>
      <w:rPr>
        <w:noProof/>
      </w:rPr>
    </w:sdtEndPr>
    <w:sdtContent>
      <w:p w:rsidR="00765B70" w:rsidRDefault="0019537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CE3316" w:rsidRDefault="00195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374" w:rsidRDefault="00195374" w:rsidP="00594B51">
      <w:pPr>
        <w:spacing w:after="0" w:line="240" w:lineRule="auto"/>
      </w:pPr>
      <w:r>
        <w:separator/>
      </w:r>
    </w:p>
  </w:footnote>
  <w:footnote w:type="continuationSeparator" w:id="0">
    <w:p w:rsidR="00195374" w:rsidRDefault="00195374" w:rsidP="00594B51">
      <w:pPr>
        <w:spacing w:after="0" w:line="240" w:lineRule="auto"/>
      </w:pPr>
      <w:r>
        <w:continuationSeparator/>
      </w:r>
    </w:p>
  </w:footnote>
  <w:footnote w:id="1">
    <w:p w:rsidR="00594B51" w:rsidRDefault="00594B51" w:rsidP="00594B51">
      <w:pPr>
        <w:pStyle w:val="FootnoteText"/>
      </w:pPr>
      <w:r>
        <w:rPr>
          <w:rStyle w:val="FootnoteReference"/>
        </w:rPr>
        <w:footnoteRef/>
      </w:r>
      <w:r>
        <w:t xml:space="preserve"> “Mọi người có nghĩa vụ nộp thuế theo luật định”.</w:t>
      </w:r>
    </w:p>
  </w:footnote>
  <w:footnote w:id="2">
    <w:p w:rsidR="00594B51" w:rsidRPr="0077687D" w:rsidRDefault="00594B51" w:rsidP="00594B51">
      <w:pPr>
        <w:pStyle w:val="FootnoteText"/>
      </w:pPr>
      <w:r w:rsidRPr="0077687D">
        <w:rPr>
          <w:rStyle w:val="FootnoteReference"/>
        </w:rPr>
        <w:footnoteRef/>
      </w:r>
      <w:r w:rsidRPr="0077687D">
        <w:t xml:space="preserve"> </w:t>
      </w:r>
      <w:r w:rsidRPr="00B83FA3">
        <w:rPr>
          <w:lang w:val="pt-BR"/>
        </w:rPr>
        <w:t>Khoản 4 Điều 70 của Hiến pháp</w:t>
      </w:r>
      <w:r w:rsidRPr="0077687D">
        <w:t xml:space="preserve"> “Quy định, sửa đổi hoặc bãi bỏ các thứ thuế”.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F0" w:rsidRDefault="00195374">
    <w:pPr>
      <w:pStyle w:val="Header"/>
      <w:jc w:val="right"/>
    </w:pPr>
  </w:p>
  <w:p w:rsidR="00AA31F0" w:rsidRDefault="001953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51"/>
    <w:rsid w:val="00014C18"/>
    <w:rsid w:val="00195374"/>
    <w:rsid w:val="001D3DB3"/>
    <w:rsid w:val="00344C4C"/>
    <w:rsid w:val="00455E80"/>
    <w:rsid w:val="00594B51"/>
    <w:rsid w:val="005F3650"/>
    <w:rsid w:val="00742F09"/>
    <w:rsid w:val="008057AF"/>
    <w:rsid w:val="009537A1"/>
    <w:rsid w:val="00957BB0"/>
    <w:rsid w:val="00AF4988"/>
    <w:rsid w:val="00F51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D3F37-738E-468E-866F-974B1CAC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B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B51"/>
    <w:rPr>
      <w:lang w:val="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Ch"/>
    <w:basedOn w:val="Normal"/>
    <w:link w:val="FootnoteTextChar"/>
    <w:unhideWhenUsed/>
    <w:qFormat/>
    <w:rsid w:val="00594B5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594B51"/>
    <w:rPr>
      <w:rFonts w:ascii="Times New Roman" w:eastAsia="Times New Roman" w:hAnsi="Times New Roman" w:cs="Times New Roman"/>
      <w:sz w:val="20"/>
      <w:szCs w:val="20"/>
      <w:lang w:val="en-US"/>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
    <w:link w:val="CarattereCarattereCharCharCharCharCharCharZchn"/>
    <w:unhideWhenUsed/>
    <w:qFormat/>
    <w:rsid w:val="00594B51"/>
    <w:rPr>
      <w:vertAlign w:val="superscript"/>
    </w:rPr>
  </w:style>
  <w:style w:type="paragraph" w:styleId="Header">
    <w:name w:val="header"/>
    <w:basedOn w:val="Normal"/>
    <w:link w:val="HeaderChar"/>
    <w:uiPriority w:val="99"/>
    <w:unhideWhenUsed/>
    <w:rsid w:val="00594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B51"/>
    <w:rPr>
      <w:lang w:val="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594B51"/>
    <w:pPr>
      <w:spacing w:after="0" w:line="240" w:lineRule="auto"/>
      <w:ind w:left="153" w:hanging="153"/>
      <w:jc w:val="both"/>
    </w:pPr>
    <w:rPr>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197E6-2D0C-4FFD-A73E-DF86AB2F614B}"/>
</file>

<file path=customXml/itemProps2.xml><?xml version="1.0" encoding="utf-8"?>
<ds:datastoreItem xmlns:ds="http://schemas.openxmlformats.org/officeDocument/2006/customXml" ds:itemID="{673CCD08-EBEB-4EB2-9E2A-AA6B0FD43264}"/>
</file>

<file path=customXml/itemProps3.xml><?xml version="1.0" encoding="utf-8"?>
<ds:datastoreItem xmlns:ds="http://schemas.openxmlformats.org/officeDocument/2006/customXml" ds:itemID="{76C381E5-DCAD-4DFC-A8C4-CB4B0B866AEA}"/>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8992</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Nguyen Thuy Ha</cp:lastModifiedBy>
  <cp:revision>1</cp:revision>
  <dcterms:created xsi:type="dcterms:W3CDTF">2024-11-04T04:35:00Z</dcterms:created>
  <dcterms:modified xsi:type="dcterms:W3CDTF">2024-11-04T04:35:00Z</dcterms:modified>
</cp:coreProperties>
</file>